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7.png" ContentType="image/png"/>
  <Override PartName="/word/media/rId38.png" ContentType="image/png"/>
  <Override PartName="/word/media/rId30.png" ContentType="image/png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Result</w:t>
      </w:r>
      <w:r>
        <w:t xml:space="preserve"> </w:t>
      </w:r>
      <w:r>
        <w:t xml:space="preserve">of</w:t>
      </w:r>
      <w:r>
        <w:t xml:space="preserve"> </w:t>
      </w:r>
      <w:r>
        <w:t xml:space="preserve">Paper</w:t>
      </w:r>
      <w:r>
        <w:t xml:space="preserve"> </w:t>
      </w:r>
      <w:r>
        <w:t xml:space="preserve">2;</w:t>
      </w:r>
      <w:r>
        <w:t xml:space="preserve"> </w:t>
      </w: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A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27,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the ever had relapse vs never had relapse.</w:t>
      </w:r>
    </w:p>
    <w:tbl>
      <w:tblPr>
        <w:tblStyle w:val="TableNormal"/>
        <w:tblW w:type="pct" w:w="0.0"/>
        <w:tblLook w:firstRow="1"/>
        <w:tblCaption w:val="Demographics of the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For each encounter, it is classified as a case if the corresponding patient experienced relapse within 12-month window. The overall case rate is 0.254.</w:t>
      </w:r>
    </w:p>
    <w:p>
      <w:pPr>
        <w:pStyle w:val="BodyText"/>
      </w:pPr>
      <w:r>
        <w:t xml:space="preserve">We further take a case-control subsample as following. For each patient, his or her follow-up period (enrollment date or first encounter date, whichever comes first) are cut into 3-month time windows. Only one case/control will be sampled from cases/controls within the same 3-month time window. The overall case rate among this subsample is 0.236. No big difference.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0.02204 0.14886 0.23926 0.27262 0.38118 0.81765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-0.00279  0.15311  0.24407  0.26559  0.36137  0.79795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C0311392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-0.003663  0.197381  0.294905  0.314593  0.416435  0.983883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-0.01389  0.14094  0.22549  0.24865  0.33570  0.87489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-0.008564  0.083921  0.136360  0.156280  0.198828  0.581401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-0.01389  0.10601  0.18875  0.20808  0.28761  0.87489</w:t>
      </w:r>
    </w:p>
    <w:p>
      <w:pPr>
        <w:pStyle w:val="Heading2"/>
      </w:pPr>
      <w:bookmarkStart w:id="27" w:name="lasso-model-with-optimal-in-the-sense-of-minimize-deviance-lambda-tuning-parameter"/>
      <w:bookmarkEnd w:id="27"/>
      <w:r>
        <w:t xml:space="preserve">LASSO model with optimal (in the sense of minimize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lasso-model-with-optimal-in-the-sense-of-minimize-deviance-lambda-tuning-parameter-one-standard-error"/>
      <w:bookmarkEnd w:id="29"/>
      <w:r>
        <w:t xml:space="preserve">LASSO model with optimal (in the sense of minimize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random-forest"/>
      <w:bookmarkEnd w:id="31"/>
      <w:r>
        <w:t xml:space="preserve">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ensemble-logistic-regression-lasso-with-random-forest"/>
      <w:bookmarkEnd w:id="36"/>
      <w:r>
        <w:t xml:space="preserve">Ensemble logistic regression (LASSO) with 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Ensemb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Ensembl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e340cf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Result of Paper 2; Aggregation Method A</dc:title>
  <dc:creator/>
  <dcterms:created xsi:type="dcterms:W3CDTF">2019-06-27T14:25:52Z</dcterms:created>
  <dcterms:modified xsi:type="dcterms:W3CDTF">2019-06-27T14:25:52Z</dcterms:modified>
</cp:coreProperties>
</file>