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Holdings Annual Report</w:t>
      </w:r>
    </w:p>
    <w:p>
      <w:pPr>
        <w:pStyle w:val="Heading2"/>
      </w:pPr>
      <w:r>
        <w:t>Q3 Performance</w:t>
      </w:r>
    </w:p>
    <w:p>
      <w:r>
        <w:t>Q3 revenue was 4.2 million dollars, an increase of 12 percent year over year. Growth was driven primarily by the enterprise segment.</w:t>
      </w:r>
    </w:p>
    <w:p>
      <w:pPr>
        <w:pStyle w:val="Heading2"/>
      </w:pPr>
      <w:r>
        <w:t>Subsidiary Breakdown</w:t>
      </w:r>
    </w:p>
    <w:p>
      <w:r>
        <w:t>Revenue by subsidiary for the quarter: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Subsidiary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Gross Margin</w:t>
            </w:r>
          </w:p>
        </w:tc>
      </w:tr>
      <w:tr>
        <w:tc>
          <w:tcPr>
            <w:tcW w:type="dxa" w:w="2880"/>
          </w:tcPr>
          <w:p>
            <w:r>
              <w:t>Subsidiary A</w:t>
            </w:r>
          </w:p>
        </w:tc>
        <w:tc>
          <w:tcPr>
            <w:tcW w:type="dxa" w:w="2880"/>
          </w:tcPr>
          <w:p>
            <w:r>
              <w:t>2.6M</w:t>
            </w:r>
          </w:p>
        </w:tc>
        <w:tc>
          <w:tcPr>
            <w:tcW w:type="dxa" w:w="2880"/>
          </w:tcPr>
          <w:p>
            <w:r>
              <w:t>41%</w:t>
            </w:r>
          </w:p>
        </w:tc>
      </w:tr>
      <w:tr>
        <w:tc>
          <w:tcPr>
            <w:tcW w:type="dxa" w:w="2880"/>
          </w:tcPr>
          <w:p>
            <w:r>
              <w:t>Subsidiary B</w:t>
            </w:r>
          </w:p>
        </w:tc>
        <w:tc>
          <w:tcPr>
            <w:tcW w:type="dxa" w:w="2880"/>
          </w:tcPr>
          <w:p>
            <w:r>
              <w:t>1.6M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</w:tbl>
    <w:p>
      <w:pPr>
        <w:pStyle w:val="Heading2"/>
      </w:pPr>
      <w:r>
        <w:t>Restatement Note</w:t>
      </w:r>
    </w:p>
    <w:p>
      <w:r>
        <w:t>The Q3 figures reflect a restatement of the revenue recognition policy that took effect in Q2 and affected three subsidiaries.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