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Hazard ratios for overall survival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Cox proportional hazards, </w:t>
      </w:r>
      <w:r>
        <w:rPr>
          <w:i/>
          <w:rFonts w:ascii="Calibri" w:hAnsi="Calibri"/>
          <w:sz w:val="20"/>
          <w:color w:val="333333"/>
        </w:rPr>
        <w:t xml:space="preserve">n</w:t>
      </w:r>
      <w:r>
        <w:rPr>
          <w:rFonts w:ascii="Calibri" w:hAnsi="Calibri"/>
          <w:sz w:val="20"/>
          <w:color w:val="333333"/>
        </w:rPr>
        <w:t xml:space="preserve"> = 212, 150 events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1B6B70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1B6B70"/>
              <w:bottom w:val="single" w:sz="16" w:space="0" w:color="1B6B70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Unadjusted</w:t>
            </w:r>
          </w:p>
        </w:tc>
        <w:tc>
          <w:tcPr>
            <w:tcBorders>
              <w:top w:val="single" w:sz="16" w:space="0" w:color="1B6B70"/>
              <w:bottom w:val="single" w:sz="16" w:space="0" w:color="1B6B70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1B6B70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Characteristic</w:t>
            </w:r>
          </w:p>
        </w:tc>
        <w:tc>
          <w:tcPr>
            <w:tcBorders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N</w:t>
            </w:r>
          </w:p>
        </w:tc>
        <w:tc>
          <w:tcPr>
            <w:tcBorders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HR (95% CI)</w:t>
            </w:r>
          </w:p>
        </w:tc>
        <w:tc>
          <w:tcPr>
            <w:tcBorders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p-value</w:t>
            </w:r>
          </w:p>
        </w:tc>
        <w:tc>
          <w:tcPr>
            <w:tcBorders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HR (95% CI)</w:t>
            </w:r>
          </w:p>
        </w:tc>
        <w:tc>
          <w:tcPr>
            <w:tcBorders>
              <w:bottom w:val="single" w:sz="16" w:space="0" w:color="1B6B70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(0.42, 0.83)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(0.40, 0.79)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(1.00, 1.04)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(0.99, 1.03)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0.177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ECOG performance status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Asymptomatic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Ambulatory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 (0.96, 2.15)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 (1.05, 2.38)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bed &lt;50%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2.47 (1.56, 3.91)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 (1.66, 4.48)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 (lbs, 6 months)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(0.99, 1.01)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(0.98, 1.00)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2026-08-06T14:26:20Z</dcterms:created>
  <dcterms:modified xsi:type="dcterms:W3CDTF">2026-08-06T14:26:20Z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