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Baseline characteristics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NCCTG Lung Cancer cohort, </w:t>
      </w:r>
      <w:r>
        <w:rPr>
          <w:i/>
          <w:rFonts w:ascii="Calibri" w:hAnsi="Calibri"/>
          <w:sz w:val="20"/>
          <w:color w:val="333333"/>
        </w:rPr>
        <w:t xml:space="preserve">n</w:t>
      </w:r>
      <w:r>
        <w:rPr>
          <w:rFonts w:ascii="Calibri" w:hAnsi="Calibri"/>
          <w:sz w:val="20"/>
          <w:color w:val="333333"/>
        </w:rPr>
        <w:t xml:space="preserve"> = 212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1B6B70"/>
              <w:bottom w:val="single" w:sz="16" w:space="0" w:color="1B6B70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Characteristic</w:t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Male</w:t>
            </w:r>
            <w:r>
              <w:rPr>
                <w:rFonts w:ascii="Calibri" w:hAnsi="Calibri"/>
                <w:sz w:val="20"/>
                <w:color w:val="1B6B7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B6B70"/>
              </w:rPr>
              <w:t xml:space="preserve"> </w:t>
            </w:r>
            <w:r>
              <w:rPr>
                <w:rFonts w:ascii="Calibri" w:hAnsi="Calibri"/>
                <w:sz w:val="20"/>
                <w:color w:val="1B6B70"/>
              </w:rPr>
              <w:t xml:space="preserve">N = 126</w:t>
            </w:r>
            <w:r>
              <w:rPr>
                <w:vertAlign w:val="superscript"/>
                <w:i/>
                <w:rFonts w:ascii="Calibri" w:hAnsi="Calibri"/>
                <w:sz w:val="20"/>
                <w:color w:val="1B6B70"/>
              </w:rPr>
              <w:t xml:space="default">1</w:t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Female</w:t>
            </w:r>
            <w:r>
              <w:rPr>
                <w:rFonts w:ascii="Calibri" w:hAnsi="Calibri"/>
                <w:sz w:val="20"/>
                <w:color w:val="1B6B7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B6B70"/>
              </w:rPr>
              <w:t xml:space="preserve"> </w:t>
            </w:r>
            <w:r>
              <w:rPr>
                <w:rFonts w:ascii="Calibri" w:hAnsi="Calibri"/>
                <w:sz w:val="20"/>
                <w:color w:val="1B6B70"/>
              </w:rPr>
              <w:t xml:space="preserve">N = 86</w:t>
            </w:r>
            <w:r>
              <w:rPr>
                <w:vertAlign w:val="superscript"/>
                <w:i/>
                <w:rFonts w:ascii="Calibri" w:hAnsi="Calibri"/>
                <w:sz w:val="20"/>
                <w:color w:val="1B6B70"/>
              </w:rPr>
              <w:t xml:space="default">1</w:t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Overall</w:t>
            </w:r>
            <w:r>
              <w:rPr>
                <w:rFonts w:ascii="Calibri" w:hAnsi="Calibri"/>
                <w:sz w:val="20"/>
                <w:color w:val="1B6B7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B6B70"/>
              </w:rPr>
              <w:t xml:space="preserve"> </w:t>
            </w:r>
            <w:r>
              <w:rPr>
                <w:rFonts w:ascii="Calibri" w:hAnsi="Calibri"/>
                <w:sz w:val="20"/>
                <w:color w:val="1B6B70"/>
              </w:rPr>
              <w:t xml:space="preserve">N = 212</w:t>
            </w:r>
            <w:r>
              <w:rPr>
                <w:vertAlign w:val="superscript"/>
                <w:i/>
                <w:rFonts w:ascii="Calibri" w:hAnsi="Calibri"/>
                <w:sz w:val="20"/>
                <w:color w:val="1B6B70"/>
              </w:rPr>
              <w:t xml:space="default">1</w:t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  <w:color w:val="1B6B7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 ± 9.3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 ± 9.0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 ± 9.2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ECOG performance status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0.854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Asymptomatic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(27.8%)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(30.2%)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(28.8%)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Ambulatory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(51.6%)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(47.7%)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(50.0%)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bed &lt;50%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(20.6%)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(22.1%)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(21.2%)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 (lbs, 6 months)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± 12.9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± 13.2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± 13.1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± SD;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2026-08-06T14:26:18Z</dcterms:created>
  <dcterms:modified xsi:type="dcterms:W3CDTF">2026-08-06T14:26:18Z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