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Hazard ratios for overall survival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Cox proportional hazards, </w:t>
      </w:r>
      <w:r>
        <w:rPr>
          <w:i/>
          <w:rFonts w:ascii="Calibri" w:hAnsi="Calibri"/>
          <w:sz w:val="20"/>
          <w:color w:val="333333"/>
        </w:rPr>
        <w:t xml:space="preserve">n</w:t>
      </w:r>
      <w:r>
        <w:rPr>
          <w:rFonts w:ascii="Calibri" w:hAnsi="Calibri"/>
          <w:sz w:val="20"/>
          <w:color w:val="333333"/>
        </w:rPr>
        <w:t xml:space="preserve"> = 212, 150 events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1B6B70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1B6B70"/>
              <w:bottom w:val="single" w:sz="16" w:space="0" w:color="1B6B70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Unadjusted</w:t>
            </w:r>
          </w:p>
        </w:tc>
        <w:tc>
          <w:tcPr>
            <w:tcBorders>
              <w:top w:val="single" w:sz="16" w:space="0" w:color="1B6B70"/>
              <w:bottom w:val="single" w:sz="16" w:space="0" w:color="1B6B70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1B6B70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  <w:color w:val="1B6B70"/>
              </w:rPr>
              <w:t xml:space="preserve">Characteristic</w:t>
            </w:r>
          </w:p>
        </w:tc>
        <w:tc>
          <w:tcPr>
            <w:tcBorders>
              <w:bottom w:val="single" w:sz="16" w:space="0" w:color="1B6B70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B6B70"/>
              </w:rPr>
              <w:t xml:space="preserve">N</w:t>
            </w:r>
          </w:p>
        </w:tc>
        <w:tc>
          <w:tcPr>
            <w:tcBorders>
              <w:bottom w:val="single" w:sz="16" w:space="0" w:color="1B6B70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B6B70"/>
              </w:rPr>
              <w:t xml:space="preserve">HR (95% CI)</w:t>
            </w:r>
          </w:p>
        </w:tc>
        <w:tc>
          <w:tcPr>
            <w:tcBorders>
              <w:bottom w:val="single" w:sz="16" w:space="0" w:color="1B6B70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B6B70"/>
              </w:rPr>
              <w:t xml:space="preserve">p-value</w:t>
            </w:r>
          </w:p>
        </w:tc>
        <w:tc>
          <w:tcPr>
            <w:tcBorders>
              <w:bottom w:val="single" w:sz="16" w:space="0" w:color="1B6B70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B6B70"/>
              </w:rPr>
              <w:t xml:space="preserve">HR (95% CI)</w:t>
            </w:r>
          </w:p>
        </w:tc>
        <w:tc>
          <w:tcPr>
            <w:tcBorders>
              <w:bottom w:val="single" w:sz="16" w:space="0" w:color="1B6B70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B6B7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 (0.42, 0.83)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(0.40, 0.79)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(years)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 (1.00, 1.04)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 (0.99, 1.03)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0.177</w:t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ECOG performance status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Asymptomatic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Ambulatory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 (0.96, 2.15)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 (1.05, 2.38)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 bed &lt;50%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2.47 (1.56, 3.91)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2.73 (1.66, 4.48)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Weight loss (lbs, 6 months)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(0.99, 1.01)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0.966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 (0.98, 1.00)</w:t>
            </w:r>
          </w:p>
        </w:tc>
        <w:tc>
          <w:tcPr>
            <w:tcBorders>
              <w:top w:val="single" w:space="0" w:color="GREY92"/>
              <w:bottom w:val="single" w:space="0" w:color="GREY92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0.176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HR = Hazard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2026-08-06T14:42:48Z</dcterms:created>
  <dcterms:modified xsi:type="dcterms:W3CDTF">2026-08-06T14:42:48Z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