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302A6A">
      <w:pPr>
        <w:spacing w:before="240" w:beforeAutospacing="0" w:after="240" w:afterAutospacing="0"/>
        <w:rPr>
          <w:lang w:val="en-US"/>
        </w:rPr>
      </w:pPr>
      <w:r>
        <w:rPr>
          <w:lang w:val="en-US"/>
        </w:rPr>
        <w:t>E-Comm Pro Project: To Build a scalable, secure, and user-friendly e-commerce platform</w:t>
      </w:r>
    </w:p>
    <w:p w14:paraId="2567F504">
      <w:pPr>
        <w:spacing w:before="240" w:beforeAutospacing="0" w:after="240" w:afterAutospacing="0"/>
        <w:rPr>
          <w:lang w:val="en-US"/>
        </w:rPr>
      </w:pPr>
    </w:p>
    <w:p w14:paraId="4EC8DAE5">
      <w:pPr>
        <w:pStyle w:val="13"/>
      </w:pPr>
    </w:p>
    <w:p w14:paraId="5BD0F88D">
      <w:pPr>
        <w:pStyle w:val="13"/>
      </w:pPr>
      <w:r>
        <w:t>1.Problem Analysis:</w:t>
      </w:r>
    </w:p>
    <w:p w14:paraId="4F52A901">
      <w:pPr>
        <w:pStyle w:val="13"/>
      </w:pPr>
      <w:r>
        <w:t>The problem faced by small business in having and maintaining an online presence can be solved by E-Comm Pro. This web-based e-commerce platform can operate round-the-clock and increasing sales opportunities. It will empower these businesses to thrive in a competitive digital economy by enhancing accessibility, robust functionality, including product listing, inventory management, user accounts, payment processing, and analytics dashboards, reducing costs and fostering growth opportunities. E-Comm Pro allows small businesses to reach customers beyond their local area, opening access to regional, national, and even global markets.</w:t>
      </w:r>
    </w:p>
    <w:p w14:paraId="7554EBBD">
      <w:r>
        <w:t>2.Determine The Critical Path:</w:t>
      </w:r>
    </w:p>
    <w:p w14:paraId="479C823D"/>
    <w:p w14:paraId="16E98145">
      <w:r>
        <w:drawing>
          <wp:inline distT="0" distB="0" distL="0" distR="0">
            <wp:extent cx="5943600" cy="1909445"/>
            <wp:effectExtent l="0" t="0" r="0" b="0"/>
            <wp:docPr id="55083806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38065" name="Picture 1" descr="A diagram of a dia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8711"/>
    <w:p w14:paraId="7E41D9A4">
      <w:r>
        <w:t>3. Risk Identification and Mitigation:</w:t>
      </w:r>
      <w:bookmarkStart w:id="0" w:name="_GoBack"/>
      <w:bookmarkEnd w:id="0"/>
    </w:p>
    <w:p w14:paraId="0877C4BD">
      <w:pPr>
        <w:pStyle w:val="13"/>
        <w:rPr>
          <w:b/>
          <w:bCs/>
        </w:rPr>
      </w:pPr>
      <w:r>
        <w:rPr>
          <w:rStyle w:val="14"/>
          <w:rFonts w:eastAsiaTheme="majorEastAsia"/>
          <w:b w:val="0"/>
          <w:bCs w:val="0"/>
        </w:rPr>
        <w:t>Risk 1: User Acceptance Delays</w:t>
      </w:r>
    </w:p>
    <w:p w14:paraId="75C3338A">
      <w:pPr>
        <w:pStyle w:val="13"/>
        <w:numPr>
          <w:ilvl w:val="0"/>
          <w:numId w:val="1"/>
        </w:numPr>
      </w:pPr>
      <w:r>
        <w:rPr>
          <w:rStyle w:val="14"/>
          <w:rFonts w:eastAsiaTheme="majorEastAsia"/>
        </w:rPr>
        <w:t>Impact</w:t>
      </w:r>
      <w:r>
        <w:t>: If stakeholders take longer than expected to review or provide feedback during user acceptance testing, it could cause delay in subsequent tasks.</w:t>
      </w:r>
    </w:p>
    <w:p w14:paraId="5C9D2DC4">
      <w:pPr>
        <w:pStyle w:val="13"/>
        <w:numPr>
          <w:ilvl w:val="0"/>
          <w:numId w:val="1"/>
        </w:numPr>
      </w:pPr>
      <w:r>
        <w:rPr>
          <w:rStyle w:val="14"/>
          <w:rFonts w:eastAsiaTheme="majorEastAsia"/>
        </w:rPr>
        <w:t>Mitigation</w:t>
      </w:r>
      <w:r>
        <w:t>: Engaging stakeholders early in the project, providing them with a clear schedule for review periods and regularly communicating the importance of adhering to timelines will mitigate this risk.</w:t>
      </w:r>
    </w:p>
    <w:p w14:paraId="393DD817">
      <w:pPr>
        <w:pStyle w:val="13"/>
        <w:rPr>
          <w:b/>
          <w:bCs/>
        </w:rPr>
      </w:pPr>
      <w:r>
        <w:rPr>
          <w:rStyle w:val="14"/>
          <w:rFonts w:eastAsiaTheme="majorEastAsia"/>
          <w:b w:val="0"/>
          <w:bCs w:val="0"/>
        </w:rPr>
        <w:t>Risk 2: Resource Constraints</w:t>
      </w:r>
    </w:p>
    <w:p w14:paraId="1497BC68">
      <w:pPr>
        <w:pStyle w:val="13"/>
        <w:numPr>
          <w:ilvl w:val="0"/>
          <w:numId w:val="2"/>
        </w:numPr>
      </w:pPr>
      <w:r>
        <w:rPr>
          <w:rStyle w:val="14"/>
          <w:rFonts w:eastAsiaTheme="majorEastAsia"/>
        </w:rPr>
        <w:t>Impact</w:t>
      </w:r>
      <w:r>
        <w:t>: Limited resources as regards team size may lead to delays if tasks take longer than expected.</w:t>
      </w:r>
    </w:p>
    <w:p w14:paraId="1C23914A">
      <w:pPr>
        <w:pStyle w:val="13"/>
        <w:numPr>
          <w:ilvl w:val="0"/>
          <w:numId w:val="2"/>
        </w:numPr>
      </w:pPr>
      <w:r>
        <w:rPr>
          <w:rStyle w:val="14"/>
          <w:rFonts w:eastAsiaTheme="majorEastAsia"/>
        </w:rPr>
        <w:t>Mitigation</w:t>
      </w:r>
      <w:r>
        <w:t>: Need to optimize task assignments and ensure cross-functional team members are able to handle overlapping responsibilities and using project management tools e.g. Trello, Gant Chart, Jira to track progress and allocate tasks.</w:t>
      </w:r>
    </w:p>
    <w:p w14:paraId="3B50BC0F">
      <w:pPr>
        <w:pStyle w:val="13"/>
        <w:ind w:left="360"/>
      </w:pPr>
      <w:r>
        <w:t>4. Impact of Change Request: If the client requests an additional feature requiring 3 weeks of development (e.g., multi-currency support), analyze its impact on the critical path and suggest ways to accommodate it within the timeline.</w:t>
      </w:r>
    </w:p>
    <w:p w14:paraId="329ADEE1">
      <w:pPr>
        <w:pStyle w:val="13"/>
        <w:numPr>
          <w:ilvl w:val="0"/>
          <w:numId w:val="3"/>
        </w:numPr>
      </w:pPr>
      <w:r>
        <w:rPr>
          <w:rStyle w:val="14"/>
          <w:rFonts w:eastAsiaTheme="majorEastAsia"/>
          <w:b w:val="0"/>
          <w:bCs w:val="0"/>
        </w:rPr>
        <w:t>Impact on Critical Path</w:t>
      </w:r>
      <w:r>
        <w:t>: This feature likely adds to Backend Development or Integration, pushing the timeline by 3 weeks, and making the project 24weeks.</w:t>
      </w:r>
    </w:p>
    <w:p w14:paraId="1F3F4A71">
      <w:pPr>
        <w:pStyle w:val="13"/>
        <w:numPr>
          <w:ilvl w:val="0"/>
          <w:numId w:val="3"/>
        </w:numPr>
      </w:pPr>
      <w:r>
        <w:rPr>
          <w:rStyle w:val="14"/>
          <w:rFonts w:eastAsiaTheme="majorEastAsia"/>
          <w:b w:val="0"/>
          <w:bCs w:val="0"/>
        </w:rPr>
        <w:t>Mitigation</w:t>
      </w:r>
      <w:r>
        <w:t>:</w:t>
      </w:r>
    </w:p>
    <w:p w14:paraId="2D3B25B0">
      <w:pPr>
        <w:pStyle w:val="13"/>
        <w:numPr>
          <w:ilvl w:val="1"/>
          <w:numId w:val="3"/>
        </w:numPr>
      </w:pPr>
      <w:r>
        <w:t>Resources can be reallocated to run the additional feature in parallel with Backend or Integration tasks.</w:t>
      </w:r>
    </w:p>
    <w:p w14:paraId="5121A8FA">
      <w:pPr>
        <w:pStyle w:val="13"/>
        <w:numPr>
          <w:ilvl w:val="1"/>
          <w:numId w:val="3"/>
        </w:numPr>
      </w:pPr>
      <w:r>
        <w:t>Identify whether the feature can be postponed to a future sprint.</w:t>
      </w:r>
    </w:p>
    <w:p w14:paraId="135C6912">
      <w:pPr>
        <w:pStyle w:val="13"/>
        <w:numPr>
          <w:ilvl w:val="1"/>
          <w:numId w:val="3"/>
        </w:numPr>
      </w:pPr>
      <w:r>
        <w:t>A non-critical task can be deprioritized or shortened to recover time.</w:t>
      </w:r>
    </w:p>
    <w:p w14:paraId="4EF43680">
      <w:pPr>
        <w:pStyle w:val="13"/>
        <w:ind w:left="360"/>
      </w:pPr>
    </w:p>
    <w:p w14:paraId="2A874170">
      <w:pPr>
        <w:pStyle w:val="13"/>
        <w:ind w:left="720"/>
      </w:pPr>
      <w:r>
        <w:drawing>
          <wp:inline distT="0" distB="0" distL="0" distR="0">
            <wp:extent cx="5943600" cy="3122930"/>
            <wp:effectExtent l="0" t="0" r="0" b="1270"/>
            <wp:docPr id="2105274397" name="Picture 3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74397" name="Picture 3" descr="A diagram of a projec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542E">
      <w:pPr>
        <w:pStyle w:val="13"/>
      </w:pPr>
    </w:p>
    <w:p w14:paraId="4FB14177">
      <w:pPr>
        <w:pStyle w:val="13"/>
      </w:pPr>
      <w:r>
        <w:t>5. Your Recommendations (If Necessary): Should your CPA show that your project’s minimum viable time exceeds the desired timeline, what would you recommend to your stakeholders?</w:t>
      </w:r>
    </w:p>
    <w:p w14:paraId="12B20A36">
      <w:pPr>
        <w:pStyle w:val="13"/>
      </w:pPr>
    </w:p>
    <w:p w14:paraId="63CF66D1">
      <w:pPr>
        <w:pStyle w:val="13"/>
      </w:pPr>
      <w:r>
        <w:t>Since CPA exceeds the 16-week timeline, stakeholders must consider the following options:</w:t>
      </w:r>
    </w:p>
    <w:p w14:paraId="26A839EB">
      <w:pPr>
        <w:pStyle w:val="13"/>
        <w:numPr>
          <w:ilvl w:val="0"/>
          <w:numId w:val="4"/>
        </w:numPr>
      </w:pPr>
      <w:r>
        <w:t>Postpone non-critical features such as the Analytics Dashboard or advanced payment integrations for a future update.</w:t>
      </w:r>
    </w:p>
    <w:p w14:paraId="1EC2A59E">
      <w:pPr>
        <w:pStyle w:val="13"/>
        <w:numPr>
          <w:ilvl w:val="0"/>
          <w:numId w:val="4"/>
        </w:numPr>
      </w:pPr>
      <w:r>
        <w:t>Temporarily bring in additional developers or specialists to accelerate Backend and Integration tasks.</w:t>
      </w:r>
    </w:p>
    <w:p w14:paraId="2C586F8C">
      <w:pPr>
        <w:pStyle w:val="13"/>
        <w:numPr>
          <w:ilvl w:val="0"/>
          <w:numId w:val="4"/>
        </w:numPr>
      </w:pPr>
      <w:r>
        <w:t>Negotiate with stakeholders to extend the timeline slightly while prioritizing essential features for the launch.</w:t>
      </w:r>
    </w:p>
    <w:p w14:paraId="6BAAB8BD">
      <w:pPr>
        <w:pStyle w:val="13"/>
      </w:pPr>
    </w:p>
    <w:p w14:paraId="793E3747"/>
    <w:p w14:paraId="5601FAF5"/>
    <w:p w14:paraId="5BE15C4D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616EC"/>
    <w:multiLevelType w:val="multilevel"/>
    <w:tmpl w:val="098616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FC22045"/>
    <w:multiLevelType w:val="multilevel"/>
    <w:tmpl w:val="1FC220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4F77764"/>
    <w:multiLevelType w:val="multilevel"/>
    <w:tmpl w:val="44F777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eastAsia="Times New Roman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20817A7"/>
    <w:multiLevelType w:val="multilevel"/>
    <w:tmpl w:val="620817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37"/>
    <w:rsid w:val="000168D7"/>
    <w:rsid w:val="00027D75"/>
    <w:rsid w:val="00067E2A"/>
    <w:rsid w:val="00080407"/>
    <w:rsid w:val="000946C3"/>
    <w:rsid w:val="000A3AE7"/>
    <w:rsid w:val="000E1264"/>
    <w:rsid w:val="00197780"/>
    <w:rsid w:val="001A7F7C"/>
    <w:rsid w:val="001C3829"/>
    <w:rsid w:val="001D6D22"/>
    <w:rsid w:val="002104FC"/>
    <w:rsid w:val="002560F6"/>
    <w:rsid w:val="00275ABF"/>
    <w:rsid w:val="002915CD"/>
    <w:rsid w:val="00296B69"/>
    <w:rsid w:val="002A34AA"/>
    <w:rsid w:val="002B138D"/>
    <w:rsid w:val="002C6044"/>
    <w:rsid w:val="002F428F"/>
    <w:rsid w:val="003150DB"/>
    <w:rsid w:val="0032497A"/>
    <w:rsid w:val="00326AAA"/>
    <w:rsid w:val="00334C0B"/>
    <w:rsid w:val="003523D6"/>
    <w:rsid w:val="00356A0F"/>
    <w:rsid w:val="00381599"/>
    <w:rsid w:val="003A6105"/>
    <w:rsid w:val="003C3548"/>
    <w:rsid w:val="003D2430"/>
    <w:rsid w:val="003D3699"/>
    <w:rsid w:val="003F0F9E"/>
    <w:rsid w:val="004471F7"/>
    <w:rsid w:val="004949EB"/>
    <w:rsid w:val="00497418"/>
    <w:rsid w:val="004A66EA"/>
    <w:rsid w:val="004B67B4"/>
    <w:rsid w:val="004D3D40"/>
    <w:rsid w:val="004E0A60"/>
    <w:rsid w:val="004E38C0"/>
    <w:rsid w:val="004F61A6"/>
    <w:rsid w:val="004F6DB9"/>
    <w:rsid w:val="00505B17"/>
    <w:rsid w:val="00516AB9"/>
    <w:rsid w:val="00546E85"/>
    <w:rsid w:val="0055085D"/>
    <w:rsid w:val="005C5FBB"/>
    <w:rsid w:val="00616DF8"/>
    <w:rsid w:val="00656E9D"/>
    <w:rsid w:val="00746E6B"/>
    <w:rsid w:val="00791DA8"/>
    <w:rsid w:val="007A274A"/>
    <w:rsid w:val="007B3616"/>
    <w:rsid w:val="007C3EC0"/>
    <w:rsid w:val="007C6391"/>
    <w:rsid w:val="007D31DE"/>
    <w:rsid w:val="007F1053"/>
    <w:rsid w:val="007F2B6F"/>
    <w:rsid w:val="0082207A"/>
    <w:rsid w:val="00833468"/>
    <w:rsid w:val="00846D78"/>
    <w:rsid w:val="00856377"/>
    <w:rsid w:val="008826AD"/>
    <w:rsid w:val="0089091F"/>
    <w:rsid w:val="0089152C"/>
    <w:rsid w:val="00911221"/>
    <w:rsid w:val="00915637"/>
    <w:rsid w:val="0093776E"/>
    <w:rsid w:val="009547FC"/>
    <w:rsid w:val="009E2ACB"/>
    <w:rsid w:val="00A575A5"/>
    <w:rsid w:val="00A851E8"/>
    <w:rsid w:val="00A9540D"/>
    <w:rsid w:val="00AB4EB8"/>
    <w:rsid w:val="00AC71A0"/>
    <w:rsid w:val="00AD4324"/>
    <w:rsid w:val="00AD4376"/>
    <w:rsid w:val="00AE558D"/>
    <w:rsid w:val="00AE5C20"/>
    <w:rsid w:val="00AE6E95"/>
    <w:rsid w:val="00AF3EF9"/>
    <w:rsid w:val="00B21F37"/>
    <w:rsid w:val="00B261C0"/>
    <w:rsid w:val="00B34494"/>
    <w:rsid w:val="00B5401F"/>
    <w:rsid w:val="00B91AB4"/>
    <w:rsid w:val="00BB204C"/>
    <w:rsid w:val="00BB7E8B"/>
    <w:rsid w:val="00BE5A8C"/>
    <w:rsid w:val="00C73EA6"/>
    <w:rsid w:val="00C74D27"/>
    <w:rsid w:val="00CA50F8"/>
    <w:rsid w:val="00CD2ECF"/>
    <w:rsid w:val="00CE42D6"/>
    <w:rsid w:val="00CF3EA2"/>
    <w:rsid w:val="00CF50EF"/>
    <w:rsid w:val="00D479BE"/>
    <w:rsid w:val="00DC2FFC"/>
    <w:rsid w:val="00DD381D"/>
    <w:rsid w:val="00DE5F95"/>
    <w:rsid w:val="00DF3A0C"/>
    <w:rsid w:val="00E40B19"/>
    <w:rsid w:val="00E578D7"/>
    <w:rsid w:val="00E7039D"/>
    <w:rsid w:val="00E775CA"/>
    <w:rsid w:val="00E820E3"/>
    <w:rsid w:val="00E97DA6"/>
    <w:rsid w:val="00EF71BB"/>
    <w:rsid w:val="00F47BC3"/>
    <w:rsid w:val="00F6215D"/>
    <w:rsid w:val="00F6392A"/>
    <w:rsid w:val="00FC1E79"/>
    <w:rsid w:val="00FF58A9"/>
    <w:rsid w:val="0B92CB3B"/>
    <w:rsid w:val="0E21DE20"/>
    <w:rsid w:val="13CFA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5</TotalTime>
  <ScaleCrop>false</ScaleCrop>
  <LinksUpToDate>false</LinksUpToDate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nkiruka sarah</dc:creator>
  <cp:lastModifiedBy>nkirukaonowu</cp:lastModifiedBy>
  <dcterms:modified xsi:type="dcterms:W3CDTF">2025-03-05T22:06:25Z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D37E58B1C83CCC8CE1CAC867D7F88253_42</vt:lpwstr>
  </property>
</Properties>
</file>