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FC79E" w14:textId="77777777" w:rsidR="008D38E2" w:rsidRPr="008D38E2" w:rsidRDefault="008D38E2" w:rsidP="008D38E2">
      <w:pPr>
        <w:widowControl/>
        <w:spacing w:before="100" w:beforeAutospacing="1" w:after="100" w:afterAutospacing="1" w:line="240" w:lineRule="auto"/>
        <w:rPr>
          <w:rFonts w:cs="Times New Roman"/>
          <w:szCs w:val="24"/>
          <w14:ligatures w14:val="none"/>
        </w:rPr>
      </w:pPr>
      <w:r w:rsidRPr="008D38E2">
        <w:rPr>
          <w:rFonts w:cs="Times New Roman"/>
          <w:b/>
          <w:bCs/>
          <w:szCs w:val="24"/>
          <w14:ligatures w14:val="none"/>
        </w:rPr>
        <w:t>Proposal for IPEDS Data Analysis</w:t>
      </w:r>
      <w:r w:rsidRPr="008D38E2">
        <w:rPr>
          <w:rFonts w:cs="Times New Roman"/>
          <w:szCs w:val="24"/>
          <w14:ligatures w14:val="none"/>
        </w:rPr>
        <w:br/>
      </w:r>
      <w:r w:rsidRPr="008D38E2">
        <w:rPr>
          <w:rFonts w:cs="Times New Roman"/>
          <w:i/>
          <w:iCs/>
          <w:szCs w:val="24"/>
          <w14:ligatures w14:val="none"/>
        </w:rPr>
        <w:t>Prepared for: Gonzaga University</w:t>
      </w:r>
    </w:p>
    <w:p w14:paraId="0839C9B3" w14:textId="77777777" w:rsidR="008D38E2" w:rsidRPr="008D38E2" w:rsidRDefault="008D38E2" w:rsidP="008D38E2">
      <w:pPr>
        <w:widowControl/>
        <w:spacing w:before="100" w:beforeAutospacing="1" w:after="100" w:afterAutospacing="1" w:line="240" w:lineRule="auto"/>
        <w:outlineLvl w:val="2"/>
        <w:rPr>
          <w:rFonts w:cs="Times New Roman"/>
          <w:b/>
          <w:bCs/>
          <w:sz w:val="27"/>
          <w:szCs w:val="27"/>
          <w14:ligatures w14:val="none"/>
        </w:rPr>
      </w:pPr>
      <w:r w:rsidRPr="008D38E2">
        <w:rPr>
          <w:rFonts w:cs="Times New Roman"/>
          <w:b/>
          <w:bCs/>
          <w:sz w:val="27"/>
          <w:szCs w:val="27"/>
          <w14:ligatures w14:val="none"/>
        </w:rPr>
        <w:t>Introduction</w:t>
      </w:r>
    </w:p>
    <w:p w14:paraId="2BFB8E94" w14:textId="77777777" w:rsidR="008D38E2" w:rsidRPr="008D38E2" w:rsidRDefault="008D38E2" w:rsidP="008D38E2">
      <w:pPr>
        <w:widowControl/>
        <w:spacing w:before="100" w:beforeAutospacing="1" w:after="100" w:afterAutospacing="1" w:line="240" w:lineRule="auto"/>
        <w:rPr>
          <w:rFonts w:cs="Times New Roman"/>
          <w:szCs w:val="24"/>
          <w14:ligatures w14:val="none"/>
        </w:rPr>
      </w:pPr>
      <w:r w:rsidRPr="008D38E2">
        <w:rPr>
          <w:rFonts w:cs="Times New Roman"/>
          <w:szCs w:val="24"/>
          <w14:ligatures w14:val="none"/>
        </w:rPr>
        <w:t>This proposal outlines a comprehensive analysis of IPEDS (Integrated Postsecondary Education Data System) data, focusing on key institutional comparisons and trends relevant to Gonzaga University. The analysis will provide valuable insights into student demographics, institutional performance, and financial standing across various peer institutions and regions.</w:t>
      </w:r>
    </w:p>
    <w:p w14:paraId="6C99803B" w14:textId="77777777" w:rsidR="008D38E2" w:rsidRPr="008D38E2" w:rsidRDefault="008D38E2" w:rsidP="008D38E2">
      <w:pPr>
        <w:widowControl/>
        <w:spacing w:before="100" w:beforeAutospacing="1" w:after="100" w:afterAutospacing="1" w:line="240" w:lineRule="auto"/>
        <w:outlineLvl w:val="2"/>
        <w:rPr>
          <w:rFonts w:cs="Times New Roman"/>
          <w:b/>
          <w:bCs/>
          <w:sz w:val="27"/>
          <w:szCs w:val="27"/>
          <w14:ligatures w14:val="none"/>
        </w:rPr>
      </w:pPr>
      <w:r w:rsidRPr="008D38E2">
        <w:rPr>
          <w:rFonts w:cs="Times New Roman"/>
          <w:b/>
          <w:bCs/>
          <w:sz w:val="27"/>
          <w:szCs w:val="27"/>
          <w14:ligatures w14:val="none"/>
        </w:rPr>
        <w:t>Scope of Analysis</w:t>
      </w:r>
    </w:p>
    <w:p w14:paraId="57D947AD" w14:textId="77777777" w:rsidR="008D38E2" w:rsidRPr="008D38E2" w:rsidRDefault="008D38E2" w:rsidP="008D38E2">
      <w:pPr>
        <w:widowControl/>
        <w:spacing w:before="100" w:beforeAutospacing="1" w:after="100" w:afterAutospacing="1" w:line="240" w:lineRule="auto"/>
        <w:rPr>
          <w:rFonts w:cs="Times New Roman"/>
          <w:szCs w:val="24"/>
          <w14:ligatures w14:val="none"/>
        </w:rPr>
      </w:pPr>
      <w:r w:rsidRPr="008D38E2">
        <w:rPr>
          <w:rFonts w:cs="Times New Roman"/>
          <w:szCs w:val="24"/>
          <w14:ligatures w14:val="none"/>
        </w:rPr>
        <w:t>The analysis will be conducted across the following three key areas:</w:t>
      </w:r>
    </w:p>
    <w:p w14:paraId="459F9595" w14:textId="77777777" w:rsidR="008D38E2" w:rsidRPr="008D38E2" w:rsidRDefault="008D38E2" w:rsidP="008D38E2">
      <w:pPr>
        <w:widowControl/>
        <w:numPr>
          <w:ilvl w:val="0"/>
          <w:numId w:val="1"/>
        </w:numPr>
        <w:spacing w:before="100" w:beforeAutospacing="1" w:after="100" w:afterAutospacing="1" w:line="240" w:lineRule="auto"/>
        <w:rPr>
          <w:rFonts w:cs="Times New Roman"/>
          <w:szCs w:val="24"/>
          <w14:ligatures w14:val="none"/>
        </w:rPr>
      </w:pPr>
      <w:r w:rsidRPr="008D38E2">
        <w:rPr>
          <w:rFonts w:cs="Times New Roman"/>
          <w:b/>
          <w:bCs/>
          <w:szCs w:val="24"/>
          <w14:ligatures w14:val="none"/>
        </w:rPr>
        <w:t>West Coast Conference (WCC) vs. Pac-12 Conference Comparison</w:t>
      </w:r>
    </w:p>
    <w:p w14:paraId="163A57E3" w14:textId="77777777" w:rsidR="008D38E2" w:rsidRPr="008D38E2" w:rsidRDefault="008D38E2" w:rsidP="008D38E2">
      <w:pPr>
        <w:widowControl/>
        <w:numPr>
          <w:ilvl w:val="1"/>
          <w:numId w:val="1"/>
        </w:numPr>
        <w:spacing w:before="100" w:beforeAutospacing="1" w:after="100" w:afterAutospacing="1" w:line="240" w:lineRule="auto"/>
        <w:rPr>
          <w:rFonts w:cs="Times New Roman"/>
          <w:szCs w:val="24"/>
          <w14:ligatures w14:val="none"/>
        </w:rPr>
      </w:pPr>
      <w:r w:rsidRPr="008D38E2">
        <w:rPr>
          <w:rFonts w:cs="Times New Roman"/>
          <w:szCs w:val="24"/>
          <w14:ligatures w14:val="none"/>
        </w:rPr>
        <w:t>Assessment of student body size, retention rates, graduation rates, and endowment size.</w:t>
      </w:r>
    </w:p>
    <w:p w14:paraId="574A6260" w14:textId="77777777" w:rsidR="008D38E2" w:rsidRPr="008D38E2" w:rsidRDefault="008D38E2" w:rsidP="008D38E2">
      <w:pPr>
        <w:widowControl/>
        <w:numPr>
          <w:ilvl w:val="1"/>
          <w:numId w:val="1"/>
        </w:numPr>
        <w:spacing w:before="100" w:beforeAutospacing="1" w:after="100" w:afterAutospacing="1" w:line="240" w:lineRule="auto"/>
        <w:rPr>
          <w:rFonts w:cs="Times New Roman"/>
          <w:szCs w:val="24"/>
          <w14:ligatures w14:val="none"/>
        </w:rPr>
      </w:pPr>
      <w:r w:rsidRPr="008D38E2">
        <w:rPr>
          <w:rFonts w:cs="Times New Roman"/>
          <w:szCs w:val="24"/>
          <w14:ligatures w14:val="none"/>
        </w:rPr>
        <w:t>Identification of institutional strengths and opportunities for Gonzaga within the WCC.</w:t>
      </w:r>
    </w:p>
    <w:p w14:paraId="5BACDE95" w14:textId="77777777" w:rsidR="008D38E2" w:rsidRPr="008D38E2" w:rsidRDefault="008D38E2" w:rsidP="008D38E2">
      <w:pPr>
        <w:widowControl/>
        <w:numPr>
          <w:ilvl w:val="1"/>
          <w:numId w:val="1"/>
        </w:numPr>
        <w:spacing w:before="100" w:beforeAutospacing="1" w:after="100" w:afterAutospacing="1" w:line="240" w:lineRule="auto"/>
        <w:rPr>
          <w:rFonts w:cs="Times New Roman"/>
          <w:szCs w:val="24"/>
          <w14:ligatures w14:val="none"/>
        </w:rPr>
      </w:pPr>
      <w:r w:rsidRPr="008D38E2">
        <w:rPr>
          <w:rFonts w:cs="Times New Roman"/>
          <w:szCs w:val="24"/>
          <w14:ligatures w14:val="none"/>
        </w:rPr>
        <w:t>Comparative analysis with Pac-12 institutions to benchmark key performance indicators.</w:t>
      </w:r>
    </w:p>
    <w:p w14:paraId="11E3CE94" w14:textId="77777777" w:rsidR="008D38E2" w:rsidRPr="008D38E2" w:rsidRDefault="008D38E2" w:rsidP="008D38E2">
      <w:pPr>
        <w:widowControl/>
        <w:numPr>
          <w:ilvl w:val="0"/>
          <w:numId w:val="1"/>
        </w:numPr>
        <w:spacing w:before="100" w:beforeAutospacing="1" w:after="100" w:afterAutospacing="1" w:line="240" w:lineRule="auto"/>
        <w:rPr>
          <w:rFonts w:cs="Times New Roman"/>
          <w:szCs w:val="24"/>
          <w14:ligatures w14:val="none"/>
        </w:rPr>
      </w:pPr>
      <w:r w:rsidRPr="008D38E2">
        <w:rPr>
          <w:rFonts w:cs="Times New Roman"/>
          <w:b/>
          <w:bCs/>
          <w:szCs w:val="24"/>
          <w14:ligatures w14:val="none"/>
        </w:rPr>
        <w:t>Graduate Student Enrollment Trends in Washington State</w:t>
      </w:r>
    </w:p>
    <w:p w14:paraId="6B78AC13" w14:textId="77777777" w:rsidR="008D38E2" w:rsidRPr="008D38E2" w:rsidRDefault="008D38E2" w:rsidP="008D38E2">
      <w:pPr>
        <w:widowControl/>
        <w:numPr>
          <w:ilvl w:val="1"/>
          <w:numId w:val="1"/>
        </w:numPr>
        <w:spacing w:before="100" w:beforeAutospacing="1" w:after="100" w:afterAutospacing="1" w:line="240" w:lineRule="auto"/>
        <w:rPr>
          <w:rFonts w:cs="Times New Roman"/>
          <w:szCs w:val="24"/>
          <w14:ligatures w14:val="none"/>
        </w:rPr>
      </w:pPr>
      <w:r w:rsidRPr="008D38E2">
        <w:rPr>
          <w:rFonts w:cs="Times New Roman"/>
          <w:szCs w:val="24"/>
          <w14:ligatures w14:val="none"/>
        </w:rPr>
        <w:t>Examination of graduate student enrollment statistics across Washington State institutions.</w:t>
      </w:r>
    </w:p>
    <w:p w14:paraId="0F6E4A78" w14:textId="77777777" w:rsidR="008D38E2" w:rsidRPr="008D38E2" w:rsidRDefault="008D38E2" w:rsidP="008D38E2">
      <w:pPr>
        <w:widowControl/>
        <w:numPr>
          <w:ilvl w:val="1"/>
          <w:numId w:val="1"/>
        </w:numPr>
        <w:spacing w:before="100" w:beforeAutospacing="1" w:after="100" w:afterAutospacing="1" w:line="240" w:lineRule="auto"/>
        <w:rPr>
          <w:rFonts w:cs="Times New Roman"/>
          <w:szCs w:val="24"/>
          <w14:ligatures w14:val="none"/>
        </w:rPr>
      </w:pPr>
      <w:r w:rsidRPr="008D38E2">
        <w:rPr>
          <w:rFonts w:cs="Times New Roman"/>
          <w:szCs w:val="24"/>
          <w14:ligatures w14:val="none"/>
        </w:rPr>
        <w:t>Comparison of 2019 and 2024 enrollment data with segmentation by school sector, gender, and race.</w:t>
      </w:r>
    </w:p>
    <w:p w14:paraId="152B90EC" w14:textId="77777777" w:rsidR="008D38E2" w:rsidRPr="008D38E2" w:rsidRDefault="008D38E2" w:rsidP="008D38E2">
      <w:pPr>
        <w:widowControl/>
        <w:numPr>
          <w:ilvl w:val="1"/>
          <w:numId w:val="1"/>
        </w:numPr>
        <w:spacing w:before="100" w:beforeAutospacing="1" w:after="100" w:afterAutospacing="1" w:line="240" w:lineRule="auto"/>
        <w:rPr>
          <w:rFonts w:cs="Times New Roman"/>
          <w:szCs w:val="24"/>
          <w14:ligatures w14:val="none"/>
        </w:rPr>
      </w:pPr>
      <w:r w:rsidRPr="008D38E2">
        <w:rPr>
          <w:rFonts w:cs="Times New Roman"/>
          <w:szCs w:val="24"/>
          <w14:ligatures w14:val="none"/>
        </w:rPr>
        <w:t>Analysis of demographic shifts and enrollment patterns over time.</w:t>
      </w:r>
    </w:p>
    <w:p w14:paraId="43637178" w14:textId="77777777" w:rsidR="008D38E2" w:rsidRPr="008D38E2" w:rsidRDefault="008D38E2" w:rsidP="008D38E2">
      <w:pPr>
        <w:widowControl/>
        <w:numPr>
          <w:ilvl w:val="0"/>
          <w:numId w:val="1"/>
        </w:numPr>
        <w:spacing w:before="100" w:beforeAutospacing="1" w:after="100" w:afterAutospacing="1" w:line="240" w:lineRule="auto"/>
        <w:rPr>
          <w:rFonts w:cs="Times New Roman"/>
          <w:szCs w:val="24"/>
          <w14:ligatures w14:val="none"/>
        </w:rPr>
      </w:pPr>
      <w:r w:rsidRPr="008D38E2">
        <w:rPr>
          <w:rFonts w:cs="Times New Roman"/>
          <w:b/>
          <w:bCs/>
          <w:szCs w:val="24"/>
          <w14:ligatures w14:val="none"/>
        </w:rPr>
        <w:t>Peer Institution Comparison: Enrollment and Operating Budgets</w:t>
      </w:r>
    </w:p>
    <w:p w14:paraId="5904EA39" w14:textId="77777777" w:rsidR="008D38E2" w:rsidRPr="008D38E2" w:rsidRDefault="008D38E2" w:rsidP="008D38E2">
      <w:pPr>
        <w:widowControl/>
        <w:numPr>
          <w:ilvl w:val="1"/>
          <w:numId w:val="1"/>
        </w:numPr>
        <w:spacing w:before="100" w:beforeAutospacing="1" w:after="100" w:afterAutospacing="1" w:line="240" w:lineRule="auto"/>
        <w:rPr>
          <w:rFonts w:cs="Times New Roman"/>
          <w:szCs w:val="24"/>
          <w14:ligatures w14:val="none"/>
        </w:rPr>
      </w:pPr>
      <w:r w:rsidRPr="008D38E2">
        <w:rPr>
          <w:rFonts w:cs="Times New Roman"/>
          <w:szCs w:val="24"/>
          <w14:ligatures w14:val="none"/>
        </w:rPr>
        <w:t>Identification of institutions similar to Gonzaga University based on enrollment size and operating budget.</w:t>
      </w:r>
    </w:p>
    <w:p w14:paraId="2C9A808C" w14:textId="77777777" w:rsidR="008D38E2" w:rsidRPr="008D38E2" w:rsidRDefault="008D38E2" w:rsidP="008D38E2">
      <w:pPr>
        <w:widowControl/>
        <w:numPr>
          <w:ilvl w:val="1"/>
          <w:numId w:val="1"/>
        </w:numPr>
        <w:spacing w:before="100" w:beforeAutospacing="1" w:after="100" w:afterAutospacing="1" w:line="240" w:lineRule="auto"/>
        <w:rPr>
          <w:rFonts w:cs="Times New Roman"/>
          <w:szCs w:val="24"/>
          <w14:ligatures w14:val="none"/>
        </w:rPr>
      </w:pPr>
      <w:r w:rsidRPr="008D38E2">
        <w:rPr>
          <w:rFonts w:cs="Times New Roman"/>
          <w:szCs w:val="24"/>
          <w14:ligatures w14:val="none"/>
        </w:rPr>
        <w:t>Benchmarking against peer institutions to assess financial sustainability and growth potential.</w:t>
      </w:r>
    </w:p>
    <w:p w14:paraId="3E424DA8" w14:textId="77777777" w:rsidR="008D38E2" w:rsidRPr="008D38E2" w:rsidRDefault="008D38E2" w:rsidP="008D38E2">
      <w:pPr>
        <w:widowControl/>
        <w:numPr>
          <w:ilvl w:val="1"/>
          <w:numId w:val="1"/>
        </w:numPr>
        <w:spacing w:before="100" w:beforeAutospacing="1" w:after="100" w:afterAutospacing="1" w:line="240" w:lineRule="auto"/>
        <w:rPr>
          <w:rFonts w:cs="Times New Roman"/>
          <w:szCs w:val="24"/>
          <w14:ligatures w14:val="none"/>
        </w:rPr>
      </w:pPr>
      <w:r w:rsidRPr="008D38E2">
        <w:rPr>
          <w:rFonts w:cs="Times New Roman"/>
          <w:szCs w:val="24"/>
          <w14:ligatures w14:val="none"/>
        </w:rPr>
        <w:t>Insights into strategic positioning within the higher education landscape.</w:t>
      </w:r>
    </w:p>
    <w:p w14:paraId="10A9F4DC" w14:textId="77777777" w:rsidR="008D38E2" w:rsidRPr="008D38E2" w:rsidRDefault="008D38E2" w:rsidP="008D38E2">
      <w:pPr>
        <w:widowControl/>
        <w:spacing w:before="100" w:beforeAutospacing="1" w:after="100" w:afterAutospacing="1" w:line="240" w:lineRule="auto"/>
        <w:outlineLvl w:val="2"/>
        <w:rPr>
          <w:rFonts w:cs="Times New Roman"/>
          <w:b/>
          <w:bCs/>
          <w:sz w:val="27"/>
          <w:szCs w:val="27"/>
          <w14:ligatures w14:val="none"/>
        </w:rPr>
      </w:pPr>
      <w:r w:rsidRPr="008D38E2">
        <w:rPr>
          <w:rFonts w:cs="Times New Roman"/>
          <w:b/>
          <w:bCs/>
          <w:sz w:val="27"/>
          <w:szCs w:val="27"/>
          <w14:ligatures w14:val="none"/>
        </w:rPr>
        <w:t>Methodology</w:t>
      </w:r>
    </w:p>
    <w:p w14:paraId="632352B1" w14:textId="77777777" w:rsidR="008D38E2" w:rsidRPr="008D38E2" w:rsidRDefault="008D38E2" w:rsidP="008D38E2">
      <w:pPr>
        <w:widowControl/>
        <w:spacing w:before="100" w:beforeAutospacing="1" w:after="100" w:afterAutospacing="1" w:line="240" w:lineRule="auto"/>
        <w:rPr>
          <w:rFonts w:cs="Times New Roman"/>
          <w:szCs w:val="24"/>
          <w14:ligatures w14:val="none"/>
        </w:rPr>
      </w:pPr>
      <w:r w:rsidRPr="008D38E2">
        <w:rPr>
          <w:rFonts w:cs="Times New Roman"/>
          <w:szCs w:val="24"/>
          <w14:ligatures w14:val="none"/>
        </w:rPr>
        <w:t>The analysis will utilize publicly available IPEDS data, applying statistical and comparative methodologies to ensure accurate and meaningful insights. The key methods include:</w:t>
      </w:r>
    </w:p>
    <w:p w14:paraId="5D284809" w14:textId="77777777" w:rsidR="008D38E2" w:rsidRPr="008D38E2" w:rsidRDefault="008D38E2" w:rsidP="008D38E2">
      <w:pPr>
        <w:widowControl/>
        <w:numPr>
          <w:ilvl w:val="0"/>
          <w:numId w:val="2"/>
        </w:numPr>
        <w:spacing w:before="100" w:beforeAutospacing="1" w:after="100" w:afterAutospacing="1" w:line="240" w:lineRule="auto"/>
        <w:rPr>
          <w:rFonts w:cs="Times New Roman"/>
          <w:szCs w:val="24"/>
          <w14:ligatures w14:val="none"/>
        </w:rPr>
      </w:pPr>
      <w:r w:rsidRPr="008D38E2">
        <w:rPr>
          <w:rFonts w:cs="Times New Roman"/>
          <w:szCs w:val="24"/>
          <w14:ligatures w14:val="none"/>
        </w:rPr>
        <w:t>Data extraction and standardization from IPEDS databases.</w:t>
      </w:r>
    </w:p>
    <w:p w14:paraId="6D606526" w14:textId="77777777" w:rsidR="008D38E2" w:rsidRPr="008D38E2" w:rsidRDefault="008D38E2" w:rsidP="008D38E2">
      <w:pPr>
        <w:widowControl/>
        <w:numPr>
          <w:ilvl w:val="0"/>
          <w:numId w:val="2"/>
        </w:numPr>
        <w:spacing w:before="100" w:beforeAutospacing="1" w:after="100" w:afterAutospacing="1" w:line="240" w:lineRule="auto"/>
        <w:rPr>
          <w:rFonts w:cs="Times New Roman"/>
          <w:szCs w:val="24"/>
          <w14:ligatures w14:val="none"/>
        </w:rPr>
      </w:pPr>
      <w:r w:rsidRPr="008D38E2">
        <w:rPr>
          <w:rFonts w:cs="Times New Roman"/>
          <w:szCs w:val="24"/>
          <w14:ligatures w14:val="none"/>
        </w:rPr>
        <w:t>Descriptive and comparative statistical analysis.</w:t>
      </w:r>
    </w:p>
    <w:p w14:paraId="26154184" w14:textId="77777777" w:rsidR="008D38E2" w:rsidRPr="008D38E2" w:rsidRDefault="008D38E2" w:rsidP="008D38E2">
      <w:pPr>
        <w:widowControl/>
        <w:numPr>
          <w:ilvl w:val="0"/>
          <w:numId w:val="2"/>
        </w:numPr>
        <w:spacing w:before="100" w:beforeAutospacing="1" w:after="100" w:afterAutospacing="1" w:line="240" w:lineRule="auto"/>
        <w:rPr>
          <w:rFonts w:cs="Times New Roman"/>
          <w:szCs w:val="24"/>
          <w14:ligatures w14:val="none"/>
        </w:rPr>
      </w:pPr>
      <w:r w:rsidRPr="008D38E2">
        <w:rPr>
          <w:rFonts w:cs="Times New Roman"/>
          <w:szCs w:val="24"/>
          <w14:ligatures w14:val="none"/>
        </w:rPr>
        <w:t>Trend analysis for multi-year comparisons.</w:t>
      </w:r>
    </w:p>
    <w:p w14:paraId="187F2F36" w14:textId="77777777" w:rsidR="008D38E2" w:rsidRPr="008D38E2" w:rsidRDefault="008D38E2" w:rsidP="008D38E2">
      <w:pPr>
        <w:widowControl/>
        <w:numPr>
          <w:ilvl w:val="0"/>
          <w:numId w:val="2"/>
        </w:numPr>
        <w:spacing w:before="100" w:beforeAutospacing="1" w:after="100" w:afterAutospacing="1" w:line="240" w:lineRule="auto"/>
        <w:rPr>
          <w:rFonts w:cs="Times New Roman"/>
          <w:szCs w:val="24"/>
          <w14:ligatures w14:val="none"/>
        </w:rPr>
      </w:pPr>
      <w:r w:rsidRPr="008D38E2">
        <w:rPr>
          <w:rFonts w:cs="Times New Roman"/>
          <w:szCs w:val="24"/>
          <w14:ligatures w14:val="none"/>
        </w:rPr>
        <w:t>Visual representation of findings through charts and tables.</w:t>
      </w:r>
    </w:p>
    <w:p w14:paraId="1EAC84AC" w14:textId="77777777" w:rsidR="008D38E2" w:rsidRDefault="008D38E2" w:rsidP="008D38E2">
      <w:pPr>
        <w:widowControl/>
        <w:spacing w:before="100" w:beforeAutospacing="1" w:after="100" w:afterAutospacing="1" w:line="240" w:lineRule="auto"/>
        <w:outlineLvl w:val="2"/>
        <w:rPr>
          <w:rFonts w:eastAsiaTheme="minorEastAsia" w:cs="Times New Roman"/>
          <w:b/>
          <w:bCs/>
          <w:sz w:val="27"/>
          <w:szCs w:val="27"/>
          <w14:ligatures w14:val="none"/>
        </w:rPr>
      </w:pPr>
    </w:p>
    <w:p w14:paraId="1E0BFC67" w14:textId="77777777" w:rsidR="008D38E2" w:rsidRDefault="008D38E2" w:rsidP="008D38E2">
      <w:pPr>
        <w:widowControl/>
        <w:spacing w:before="100" w:beforeAutospacing="1" w:after="100" w:afterAutospacing="1" w:line="240" w:lineRule="auto"/>
        <w:outlineLvl w:val="2"/>
        <w:rPr>
          <w:rFonts w:eastAsiaTheme="minorEastAsia" w:cs="Times New Roman"/>
          <w:b/>
          <w:bCs/>
          <w:sz w:val="27"/>
          <w:szCs w:val="27"/>
          <w14:ligatures w14:val="none"/>
        </w:rPr>
      </w:pPr>
    </w:p>
    <w:p w14:paraId="6242DE51" w14:textId="5B6A74B4" w:rsidR="008D38E2" w:rsidRPr="008D38E2" w:rsidRDefault="008D38E2" w:rsidP="008D38E2">
      <w:pPr>
        <w:widowControl/>
        <w:spacing w:before="100" w:beforeAutospacing="1" w:after="100" w:afterAutospacing="1" w:line="240" w:lineRule="auto"/>
        <w:outlineLvl w:val="2"/>
        <w:rPr>
          <w:rFonts w:cs="Times New Roman"/>
          <w:b/>
          <w:bCs/>
          <w:sz w:val="27"/>
          <w:szCs w:val="27"/>
          <w14:ligatures w14:val="none"/>
        </w:rPr>
      </w:pPr>
      <w:r w:rsidRPr="008D38E2">
        <w:rPr>
          <w:rFonts w:cs="Times New Roman"/>
          <w:b/>
          <w:bCs/>
          <w:sz w:val="27"/>
          <w:szCs w:val="27"/>
          <w14:ligatures w14:val="none"/>
        </w:rPr>
        <w:lastRenderedPageBreak/>
        <w:t>Deliverables</w:t>
      </w:r>
    </w:p>
    <w:p w14:paraId="3A57B001" w14:textId="77777777" w:rsidR="008D38E2" w:rsidRPr="008D38E2" w:rsidRDefault="008D38E2" w:rsidP="008D38E2">
      <w:pPr>
        <w:widowControl/>
        <w:spacing w:before="100" w:beforeAutospacing="1" w:after="100" w:afterAutospacing="1" w:line="240" w:lineRule="auto"/>
        <w:rPr>
          <w:rFonts w:cs="Times New Roman"/>
          <w:szCs w:val="24"/>
          <w14:ligatures w14:val="none"/>
        </w:rPr>
      </w:pPr>
      <w:r w:rsidRPr="008D38E2">
        <w:rPr>
          <w:rFonts w:cs="Times New Roman"/>
          <w:szCs w:val="24"/>
          <w14:ligatures w14:val="none"/>
        </w:rPr>
        <w:t>The final report will include:</w:t>
      </w:r>
    </w:p>
    <w:p w14:paraId="5107E364" w14:textId="77777777" w:rsidR="008D38E2" w:rsidRPr="008D38E2" w:rsidRDefault="008D38E2" w:rsidP="008D38E2">
      <w:pPr>
        <w:widowControl/>
        <w:numPr>
          <w:ilvl w:val="0"/>
          <w:numId w:val="3"/>
        </w:numPr>
        <w:spacing w:before="100" w:beforeAutospacing="1" w:after="100" w:afterAutospacing="1" w:line="240" w:lineRule="auto"/>
        <w:rPr>
          <w:rFonts w:cs="Times New Roman"/>
          <w:szCs w:val="24"/>
          <w14:ligatures w14:val="none"/>
        </w:rPr>
      </w:pPr>
      <w:r w:rsidRPr="008D38E2">
        <w:rPr>
          <w:rFonts w:cs="Times New Roman"/>
          <w:szCs w:val="24"/>
          <w14:ligatures w14:val="none"/>
        </w:rPr>
        <w:t>A detailed summary of findings for each analysis area.</w:t>
      </w:r>
    </w:p>
    <w:p w14:paraId="36AB42AE" w14:textId="77777777" w:rsidR="008D38E2" w:rsidRPr="008D38E2" w:rsidRDefault="008D38E2" w:rsidP="008D38E2">
      <w:pPr>
        <w:widowControl/>
        <w:numPr>
          <w:ilvl w:val="0"/>
          <w:numId w:val="3"/>
        </w:numPr>
        <w:spacing w:before="100" w:beforeAutospacing="1" w:after="100" w:afterAutospacing="1" w:line="240" w:lineRule="auto"/>
        <w:rPr>
          <w:rFonts w:cs="Times New Roman"/>
          <w:szCs w:val="24"/>
          <w14:ligatures w14:val="none"/>
        </w:rPr>
      </w:pPr>
      <w:r w:rsidRPr="008D38E2">
        <w:rPr>
          <w:rFonts w:cs="Times New Roman"/>
          <w:szCs w:val="24"/>
          <w14:ligatures w14:val="none"/>
        </w:rPr>
        <w:t>Graphical representations of key trends and comparisons.</w:t>
      </w:r>
    </w:p>
    <w:p w14:paraId="6329CE66" w14:textId="77777777" w:rsidR="008D38E2" w:rsidRPr="008D38E2" w:rsidRDefault="008D38E2" w:rsidP="008D38E2">
      <w:pPr>
        <w:widowControl/>
        <w:numPr>
          <w:ilvl w:val="0"/>
          <w:numId w:val="3"/>
        </w:numPr>
        <w:spacing w:before="100" w:beforeAutospacing="1" w:after="100" w:afterAutospacing="1" w:line="240" w:lineRule="auto"/>
        <w:rPr>
          <w:rFonts w:cs="Times New Roman"/>
          <w:szCs w:val="24"/>
          <w14:ligatures w14:val="none"/>
        </w:rPr>
      </w:pPr>
      <w:r w:rsidRPr="008D38E2">
        <w:rPr>
          <w:rFonts w:cs="Times New Roman"/>
          <w:szCs w:val="24"/>
          <w14:ligatures w14:val="none"/>
        </w:rPr>
        <w:t>Executive summary with actionable insights for Gonzaga University.</w:t>
      </w:r>
    </w:p>
    <w:p w14:paraId="55DFF9F1" w14:textId="77777777" w:rsidR="008D38E2" w:rsidRPr="008D38E2" w:rsidRDefault="008D38E2" w:rsidP="008D38E2">
      <w:pPr>
        <w:widowControl/>
        <w:numPr>
          <w:ilvl w:val="0"/>
          <w:numId w:val="3"/>
        </w:numPr>
        <w:spacing w:before="100" w:beforeAutospacing="1" w:after="100" w:afterAutospacing="1" w:line="240" w:lineRule="auto"/>
        <w:rPr>
          <w:rFonts w:cs="Times New Roman"/>
          <w:szCs w:val="24"/>
          <w14:ligatures w14:val="none"/>
        </w:rPr>
      </w:pPr>
      <w:r w:rsidRPr="008D38E2">
        <w:rPr>
          <w:rFonts w:cs="Times New Roman"/>
          <w:szCs w:val="24"/>
          <w14:ligatures w14:val="none"/>
        </w:rPr>
        <w:t>Recommendations for leveraging data insights for institutional strategy and decision-making.</w:t>
      </w:r>
    </w:p>
    <w:p w14:paraId="0CEB62EA" w14:textId="77777777" w:rsidR="008D38E2" w:rsidRPr="008D38E2" w:rsidRDefault="008D38E2" w:rsidP="008D38E2">
      <w:pPr>
        <w:widowControl/>
        <w:spacing w:before="100" w:beforeAutospacing="1" w:after="100" w:afterAutospacing="1" w:line="240" w:lineRule="auto"/>
        <w:outlineLvl w:val="2"/>
        <w:rPr>
          <w:rFonts w:cs="Times New Roman"/>
          <w:b/>
          <w:bCs/>
          <w:sz w:val="27"/>
          <w:szCs w:val="27"/>
          <w14:ligatures w14:val="none"/>
        </w:rPr>
      </w:pPr>
      <w:r w:rsidRPr="008D38E2">
        <w:rPr>
          <w:rFonts w:cs="Times New Roman"/>
          <w:b/>
          <w:bCs/>
          <w:sz w:val="27"/>
          <w:szCs w:val="27"/>
          <w14:ligatures w14:val="none"/>
        </w:rPr>
        <w:t>Conclusion</w:t>
      </w:r>
    </w:p>
    <w:p w14:paraId="3D3E6BD2" w14:textId="77777777" w:rsidR="008D38E2" w:rsidRPr="008D38E2" w:rsidRDefault="008D38E2" w:rsidP="008D38E2">
      <w:pPr>
        <w:widowControl/>
        <w:spacing w:before="100" w:beforeAutospacing="1" w:after="100" w:afterAutospacing="1" w:line="240" w:lineRule="auto"/>
        <w:rPr>
          <w:rFonts w:cs="Times New Roman"/>
          <w:szCs w:val="24"/>
          <w14:ligatures w14:val="none"/>
        </w:rPr>
      </w:pPr>
      <w:r w:rsidRPr="008D38E2">
        <w:rPr>
          <w:rFonts w:cs="Times New Roman"/>
          <w:szCs w:val="24"/>
          <w14:ligatures w14:val="none"/>
        </w:rPr>
        <w:t>This analysis will provide Gonzaga University with critical insights into institutional positioning, enrollment trends, and financial standing relative to peer and competitor institutions. By leveraging IPEDS data, Gonzaga can make informed decisions to enhance strategic planning and institutional effectiveness.</w:t>
      </w:r>
    </w:p>
    <w:p w14:paraId="1EBB35B3" w14:textId="77777777" w:rsidR="008D38E2" w:rsidRPr="008D38E2" w:rsidRDefault="008D38E2" w:rsidP="008D38E2">
      <w:pPr>
        <w:widowControl/>
        <w:spacing w:before="100" w:beforeAutospacing="1" w:after="100" w:afterAutospacing="1" w:line="240" w:lineRule="auto"/>
        <w:rPr>
          <w:rFonts w:cs="Times New Roman"/>
          <w:szCs w:val="24"/>
          <w14:ligatures w14:val="none"/>
        </w:rPr>
      </w:pPr>
      <w:r w:rsidRPr="008D38E2">
        <w:rPr>
          <w:rFonts w:cs="Times New Roman"/>
          <w:szCs w:val="24"/>
          <w14:ligatures w14:val="none"/>
        </w:rPr>
        <w:t>We look forward to your feedback and the opportunity to collaborate on this important initiative.</w:t>
      </w:r>
    </w:p>
    <w:p w14:paraId="43A5AD4E" w14:textId="77777777" w:rsidR="00BC68DE" w:rsidRDefault="00BC68DE"/>
    <w:sectPr w:rsidR="00BC68DE" w:rsidSect="00F5749D">
      <w:pgSz w:w="11909" w:h="16834"/>
      <w:pgMar w:top="1440" w:right="1440" w:bottom="1440" w:left="1440" w:header="720" w:footer="720" w:gutter="0"/>
      <w:cols w:space="425"/>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61F33" w14:textId="77777777" w:rsidR="009412CA" w:rsidRDefault="009412CA" w:rsidP="0015680E">
      <w:pPr>
        <w:spacing w:line="240" w:lineRule="auto"/>
      </w:pPr>
      <w:r>
        <w:separator/>
      </w:r>
    </w:p>
  </w:endnote>
  <w:endnote w:type="continuationSeparator" w:id="0">
    <w:p w14:paraId="32FD6DC0" w14:textId="77777777" w:rsidR="009412CA" w:rsidRDefault="009412CA" w:rsidP="00156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75F8D" w14:textId="77777777" w:rsidR="009412CA" w:rsidRDefault="009412CA" w:rsidP="0015680E">
      <w:pPr>
        <w:spacing w:line="240" w:lineRule="auto"/>
      </w:pPr>
      <w:r>
        <w:separator/>
      </w:r>
    </w:p>
  </w:footnote>
  <w:footnote w:type="continuationSeparator" w:id="0">
    <w:p w14:paraId="1B544809" w14:textId="77777777" w:rsidR="009412CA" w:rsidRDefault="009412CA" w:rsidP="001568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62AD9"/>
    <w:multiLevelType w:val="multilevel"/>
    <w:tmpl w:val="05DC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91C89"/>
    <w:multiLevelType w:val="multilevel"/>
    <w:tmpl w:val="DE2E4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3490F"/>
    <w:multiLevelType w:val="multilevel"/>
    <w:tmpl w:val="01CA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039755">
    <w:abstractNumId w:val="1"/>
  </w:num>
  <w:num w:numId="2" w16cid:durableId="554706240">
    <w:abstractNumId w:val="0"/>
  </w:num>
  <w:num w:numId="3" w16cid:durableId="879321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E2"/>
    <w:rsid w:val="00002160"/>
    <w:rsid w:val="000507BF"/>
    <w:rsid w:val="00062CFB"/>
    <w:rsid w:val="00072B13"/>
    <w:rsid w:val="00082180"/>
    <w:rsid w:val="00092A12"/>
    <w:rsid w:val="00092E88"/>
    <w:rsid w:val="000A63D0"/>
    <w:rsid w:val="000D1801"/>
    <w:rsid w:val="000D2F7E"/>
    <w:rsid w:val="000D64E1"/>
    <w:rsid w:val="0010531F"/>
    <w:rsid w:val="001219D6"/>
    <w:rsid w:val="0015265A"/>
    <w:rsid w:val="00152A0E"/>
    <w:rsid w:val="0015680E"/>
    <w:rsid w:val="00164D05"/>
    <w:rsid w:val="00196A8C"/>
    <w:rsid w:val="001A1DF5"/>
    <w:rsid w:val="001A66CD"/>
    <w:rsid w:val="001B05FA"/>
    <w:rsid w:val="001B403C"/>
    <w:rsid w:val="001B6C0C"/>
    <w:rsid w:val="001C6E3D"/>
    <w:rsid w:val="001D719E"/>
    <w:rsid w:val="001E63CE"/>
    <w:rsid w:val="00215E2A"/>
    <w:rsid w:val="002223BC"/>
    <w:rsid w:val="002417C6"/>
    <w:rsid w:val="0026599C"/>
    <w:rsid w:val="00280A32"/>
    <w:rsid w:val="002820EA"/>
    <w:rsid w:val="002B3E20"/>
    <w:rsid w:val="002B5D46"/>
    <w:rsid w:val="002F7AA2"/>
    <w:rsid w:val="00306ED5"/>
    <w:rsid w:val="0032180F"/>
    <w:rsid w:val="00326544"/>
    <w:rsid w:val="0033431B"/>
    <w:rsid w:val="00340A4B"/>
    <w:rsid w:val="00341239"/>
    <w:rsid w:val="00355034"/>
    <w:rsid w:val="00366C6B"/>
    <w:rsid w:val="003A09AB"/>
    <w:rsid w:val="003A1460"/>
    <w:rsid w:val="003B5B15"/>
    <w:rsid w:val="003C4EE9"/>
    <w:rsid w:val="003E17B2"/>
    <w:rsid w:val="003E2323"/>
    <w:rsid w:val="003E4786"/>
    <w:rsid w:val="003F0E72"/>
    <w:rsid w:val="003F2DAA"/>
    <w:rsid w:val="004113AE"/>
    <w:rsid w:val="00434E19"/>
    <w:rsid w:val="00457759"/>
    <w:rsid w:val="0046158E"/>
    <w:rsid w:val="00462804"/>
    <w:rsid w:val="004A247C"/>
    <w:rsid w:val="004A7A7A"/>
    <w:rsid w:val="004C2145"/>
    <w:rsid w:val="004D5DC6"/>
    <w:rsid w:val="004E03DF"/>
    <w:rsid w:val="004E6EB3"/>
    <w:rsid w:val="0050020E"/>
    <w:rsid w:val="005012AE"/>
    <w:rsid w:val="005046EC"/>
    <w:rsid w:val="00506114"/>
    <w:rsid w:val="005124D6"/>
    <w:rsid w:val="00523C04"/>
    <w:rsid w:val="00555FCC"/>
    <w:rsid w:val="00557B6B"/>
    <w:rsid w:val="0057073D"/>
    <w:rsid w:val="00574E5E"/>
    <w:rsid w:val="00577E4D"/>
    <w:rsid w:val="00585D42"/>
    <w:rsid w:val="005B1EA3"/>
    <w:rsid w:val="005C29A3"/>
    <w:rsid w:val="005C3150"/>
    <w:rsid w:val="005C6248"/>
    <w:rsid w:val="005E2FC1"/>
    <w:rsid w:val="005E3B55"/>
    <w:rsid w:val="005F5A06"/>
    <w:rsid w:val="005F7520"/>
    <w:rsid w:val="006007FA"/>
    <w:rsid w:val="00605EE3"/>
    <w:rsid w:val="00620707"/>
    <w:rsid w:val="00627713"/>
    <w:rsid w:val="00644859"/>
    <w:rsid w:val="00650599"/>
    <w:rsid w:val="00657052"/>
    <w:rsid w:val="006606D9"/>
    <w:rsid w:val="00662D56"/>
    <w:rsid w:val="00674A35"/>
    <w:rsid w:val="006912B7"/>
    <w:rsid w:val="00693C84"/>
    <w:rsid w:val="006A225B"/>
    <w:rsid w:val="006B082B"/>
    <w:rsid w:val="006D0DEF"/>
    <w:rsid w:val="006E212B"/>
    <w:rsid w:val="00707AD9"/>
    <w:rsid w:val="007145F3"/>
    <w:rsid w:val="00757F69"/>
    <w:rsid w:val="00764B26"/>
    <w:rsid w:val="0076740A"/>
    <w:rsid w:val="00770B89"/>
    <w:rsid w:val="00791B87"/>
    <w:rsid w:val="007A425F"/>
    <w:rsid w:val="007D455E"/>
    <w:rsid w:val="007E648B"/>
    <w:rsid w:val="00807044"/>
    <w:rsid w:val="008116F7"/>
    <w:rsid w:val="00813F05"/>
    <w:rsid w:val="008168E6"/>
    <w:rsid w:val="00844FEA"/>
    <w:rsid w:val="0085511E"/>
    <w:rsid w:val="00856787"/>
    <w:rsid w:val="008635A5"/>
    <w:rsid w:val="0087644E"/>
    <w:rsid w:val="0088789E"/>
    <w:rsid w:val="00891D57"/>
    <w:rsid w:val="00897FA3"/>
    <w:rsid w:val="008D38E2"/>
    <w:rsid w:val="008D588A"/>
    <w:rsid w:val="008D7856"/>
    <w:rsid w:val="008F361A"/>
    <w:rsid w:val="00916E96"/>
    <w:rsid w:val="009412CA"/>
    <w:rsid w:val="00952B5B"/>
    <w:rsid w:val="009751DE"/>
    <w:rsid w:val="00976F8A"/>
    <w:rsid w:val="009817B1"/>
    <w:rsid w:val="00987965"/>
    <w:rsid w:val="009A2910"/>
    <w:rsid w:val="009A588A"/>
    <w:rsid w:val="009B7D97"/>
    <w:rsid w:val="009C525D"/>
    <w:rsid w:val="009D60D9"/>
    <w:rsid w:val="009E30C5"/>
    <w:rsid w:val="009F0B6E"/>
    <w:rsid w:val="00A046C5"/>
    <w:rsid w:val="00A04F09"/>
    <w:rsid w:val="00A125D3"/>
    <w:rsid w:val="00A216D8"/>
    <w:rsid w:val="00A25EC6"/>
    <w:rsid w:val="00A6327D"/>
    <w:rsid w:val="00A64022"/>
    <w:rsid w:val="00A64DE4"/>
    <w:rsid w:val="00A65258"/>
    <w:rsid w:val="00A6554F"/>
    <w:rsid w:val="00AB3005"/>
    <w:rsid w:val="00AF6FD7"/>
    <w:rsid w:val="00B10A04"/>
    <w:rsid w:val="00B249C1"/>
    <w:rsid w:val="00B3470B"/>
    <w:rsid w:val="00B52AF0"/>
    <w:rsid w:val="00B75403"/>
    <w:rsid w:val="00B905C9"/>
    <w:rsid w:val="00B90ADC"/>
    <w:rsid w:val="00BA2DE9"/>
    <w:rsid w:val="00BA423E"/>
    <w:rsid w:val="00BC5ABC"/>
    <w:rsid w:val="00BC68DE"/>
    <w:rsid w:val="00BE3BBC"/>
    <w:rsid w:val="00C07E8B"/>
    <w:rsid w:val="00C16628"/>
    <w:rsid w:val="00C20DB0"/>
    <w:rsid w:val="00C2198B"/>
    <w:rsid w:val="00C22AAF"/>
    <w:rsid w:val="00C27AFA"/>
    <w:rsid w:val="00C32E60"/>
    <w:rsid w:val="00C40444"/>
    <w:rsid w:val="00C4328B"/>
    <w:rsid w:val="00C44ACB"/>
    <w:rsid w:val="00C56855"/>
    <w:rsid w:val="00C61B08"/>
    <w:rsid w:val="00C66B81"/>
    <w:rsid w:val="00C726B1"/>
    <w:rsid w:val="00C9613C"/>
    <w:rsid w:val="00CB169E"/>
    <w:rsid w:val="00CF40C6"/>
    <w:rsid w:val="00D1316D"/>
    <w:rsid w:val="00D26938"/>
    <w:rsid w:val="00D352EE"/>
    <w:rsid w:val="00D40091"/>
    <w:rsid w:val="00D47034"/>
    <w:rsid w:val="00D470A8"/>
    <w:rsid w:val="00DA1E69"/>
    <w:rsid w:val="00DA22A4"/>
    <w:rsid w:val="00DB2F75"/>
    <w:rsid w:val="00DB4EAC"/>
    <w:rsid w:val="00DB5BAE"/>
    <w:rsid w:val="00DF1A94"/>
    <w:rsid w:val="00E1238C"/>
    <w:rsid w:val="00E1767B"/>
    <w:rsid w:val="00E215BA"/>
    <w:rsid w:val="00E2346C"/>
    <w:rsid w:val="00E33F92"/>
    <w:rsid w:val="00E75A17"/>
    <w:rsid w:val="00E82552"/>
    <w:rsid w:val="00E946B7"/>
    <w:rsid w:val="00EC76D5"/>
    <w:rsid w:val="00ED7881"/>
    <w:rsid w:val="00EE577C"/>
    <w:rsid w:val="00F073CC"/>
    <w:rsid w:val="00F41B9D"/>
    <w:rsid w:val="00F5749D"/>
    <w:rsid w:val="00F57E6D"/>
    <w:rsid w:val="00F66118"/>
    <w:rsid w:val="00F70A85"/>
    <w:rsid w:val="00F86D11"/>
    <w:rsid w:val="00F94A95"/>
    <w:rsid w:val="00FA5C27"/>
    <w:rsid w:val="00FB1E1B"/>
    <w:rsid w:val="00FB223D"/>
    <w:rsid w:val="00FD412B"/>
    <w:rsid w:val="00FD4645"/>
    <w:rsid w:val="00FF3E9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E33B30"/>
  <w15:chartTrackingRefBased/>
  <w15:docId w15:val="{9BBFA86D-7B4B-4076-ABE5-FC98B804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1DE"/>
    <w:pPr>
      <w:widowControl w:val="0"/>
      <w:spacing w:after="0"/>
    </w:pPr>
    <w:rPr>
      <w:rFonts w:ascii="Times New Roman" w:eastAsia="Times New Roman" w:hAnsi="Times New Roman"/>
      <w:sz w:val="24"/>
    </w:rPr>
  </w:style>
  <w:style w:type="paragraph" w:styleId="Heading1">
    <w:name w:val="heading 1"/>
    <w:basedOn w:val="Normal"/>
    <w:next w:val="Normal"/>
    <w:link w:val="Heading1Char"/>
    <w:uiPriority w:val="9"/>
    <w:qFormat/>
    <w:rsid w:val="008D3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8E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8E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D38E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D38E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38E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38E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38E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8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8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8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8E2"/>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8D38E2"/>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8D38E2"/>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8D38E2"/>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8D38E2"/>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8D38E2"/>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8D3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8E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8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38E2"/>
    <w:rPr>
      <w:rFonts w:ascii="Times New Roman" w:eastAsia="Times New Roman" w:hAnsi="Times New Roman"/>
      <w:i/>
      <w:iCs/>
      <w:color w:val="404040" w:themeColor="text1" w:themeTint="BF"/>
      <w:sz w:val="24"/>
    </w:rPr>
  </w:style>
  <w:style w:type="paragraph" w:styleId="ListParagraph">
    <w:name w:val="List Paragraph"/>
    <w:basedOn w:val="Normal"/>
    <w:uiPriority w:val="34"/>
    <w:qFormat/>
    <w:rsid w:val="008D38E2"/>
    <w:pPr>
      <w:ind w:left="720"/>
      <w:contextualSpacing/>
    </w:pPr>
  </w:style>
  <w:style w:type="character" w:styleId="IntenseEmphasis">
    <w:name w:val="Intense Emphasis"/>
    <w:basedOn w:val="DefaultParagraphFont"/>
    <w:uiPriority w:val="21"/>
    <w:qFormat/>
    <w:rsid w:val="008D38E2"/>
    <w:rPr>
      <w:i/>
      <w:iCs/>
      <w:color w:val="0F4761" w:themeColor="accent1" w:themeShade="BF"/>
    </w:rPr>
  </w:style>
  <w:style w:type="paragraph" w:styleId="IntenseQuote">
    <w:name w:val="Intense Quote"/>
    <w:basedOn w:val="Normal"/>
    <w:next w:val="Normal"/>
    <w:link w:val="IntenseQuoteChar"/>
    <w:uiPriority w:val="30"/>
    <w:qFormat/>
    <w:rsid w:val="008D3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8E2"/>
    <w:rPr>
      <w:rFonts w:ascii="Times New Roman" w:eastAsia="Times New Roman" w:hAnsi="Times New Roman"/>
      <w:i/>
      <w:iCs/>
      <w:color w:val="0F4761" w:themeColor="accent1" w:themeShade="BF"/>
      <w:sz w:val="24"/>
    </w:rPr>
  </w:style>
  <w:style w:type="character" w:styleId="IntenseReference">
    <w:name w:val="Intense Reference"/>
    <w:basedOn w:val="DefaultParagraphFont"/>
    <w:uiPriority w:val="32"/>
    <w:qFormat/>
    <w:rsid w:val="008D38E2"/>
    <w:rPr>
      <w:b/>
      <w:bCs/>
      <w:smallCaps/>
      <w:color w:val="0F4761" w:themeColor="accent1" w:themeShade="BF"/>
      <w:spacing w:val="5"/>
    </w:rPr>
  </w:style>
  <w:style w:type="paragraph" w:styleId="Header">
    <w:name w:val="header"/>
    <w:basedOn w:val="Normal"/>
    <w:link w:val="HeaderChar"/>
    <w:uiPriority w:val="99"/>
    <w:unhideWhenUsed/>
    <w:rsid w:val="0015680E"/>
    <w:pPr>
      <w:tabs>
        <w:tab w:val="center" w:pos="4320"/>
        <w:tab w:val="right" w:pos="8640"/>
      </w:tabs>
      <w:spacing w:line="240" w:lineRule="auto"/>
    </w:pPr>
  </w:style>
  <w:style w:type="character" w:customStyle="1" w:styleId="HeaderChar">
    <w:name w:val="Header Char"/>
    <w:basedOn w:val="DefaultParagraphFont"/>
    <w:link w:val="Header"/>
    <w:uiPriority w:val="99"/>
    <w:rsid w:val="0015680E"/>
    <w:rPr>
      <w:rFonts w:ascii="Times New Roman" w:eastAsia="Times New Roman" w:hAnsi="Times New Roman"/>
      <w:sz w:val="24"/>
    </w:rPr>
  </w:style>
  <w:style w:type="paragraph" w:styleId="Footer">
    <w:name w:val="footer"/>
    <w:basedOn w:val="Normal"/>
    <w:link w:val="FooterChar"/>
    <w:uiPriority w:val="99"/>
    <w:unhideWhenUsed/>
    <w:rsid w:val="0015680E"/>
    <w:pPr>
      <w:tabs>
        <w:tab w:val="center" w:pos="4320"/>
        <w:tab w:val="right" w:pos="8640"/>
      </w:tabs>
      <w:spacing w:line="240" w:lineRule="auto"/>
    </w:pPr>
  </w:style>
  <w:style w:type="character" w:customStyle="1" w:styleId="FooterChar">
    <w:name w:val="Footer Char"/>
    <w:basedOn w:val="DefaultParagraphFont"/>
    <w:link w:val="Footer"/>
    <w:uiPriority w:val="99"/>
    <w:rsid w:val="0015680E"/>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4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349</Words>
  <Characters>2300</Characters>
  <Application>Microsoft Office Word</Application>
  <DocSecurity>0</DocSecurity>
  <Lines>51</Lines>
  <Paragraphs>35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2025-02-26T17:54:00Z</dcterms:created>
  <dcterms:modified xsi:type="dcterms:W3CDTF">2025-02-26T18:12:00Z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fd6e43db-d0aa-49f7-8471-7ad38ea94a2e</vt:lpwstr>
  </property>
</Properties>
</file>