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Retention and Disposal Policy</w:t>
      </w:r>
    </w:p>
    <w:p>
      <w:pPr>
        <w:pStyle w:val="Heading2"/>
      </w:pPr>
      <w:r>
        <w:t>Purpose</w:t>
      </w:r>
    </w:p>
    <w:p>
      <w:r>
        <w:t>This policy defines retention, deletion, and disposal requirements for operational data, secrets, logs, and financial-data-adjacent information processed by systems represented in this repository package.</w:t>
      </w:r>
    </w:p>
    <w:p>
      <w:pPr>
        <w:pStyle w:val="Heading2"/>
      </w:pPr>
      <w:r>
        <w:t>Scope</w:t>
      </w:r>
    </w:p>
    <w:p>
      <w:pPr>
        <w:pStyle w:val="ListBullet"/>
      </w:pPr>
      <w:r>
        <w:t>Public repository contents, including code, issues, pull requests, and commit metadata.</w:t>
      </w:r>
    </w:p>
    <w:p>
      <w:pPr>
        <w:pStyle w:val="ListBullet"/>
      </w:pPr>
      <w:r>
        <w:t>Controlled runtime environments used for integrations such as Plaid, Microsoft Graph, SharePoint, Snowflake, and similar services.</w:t>
      </w:r>
    </w:p>
    <w:p>
      <w:pPr>
        <w:pStyle w:val="ListBullet"/>
      </w:pPr>
      <w:r>
        <w:t>Secrets, tokens, logs, diagnostics, and configuration data managed outside public source control.</w:t>
      </w:r>
    </w:p>
    <w:p>
      <w:pPr>
        <w:pStyle w:val="Heading2"/>
      </w:pPr>
      <w:r>
        <w:t>Retention principles</w:t>
      </w:r>
    </w:p>
    <w:p>
      <w:pPr>
        <w:pStyle w:val="ListBullet"/>
      </w:pPr>
      <w:r>
        <w:t>Information must be retained only for the minimum period necessary to support the documented service function, security operations, or legal obligations.</w:t>
      </w:r>
    </w:p>
    <w:p>
      <w:pPr>
        <w:pStyle w:val="ListBullet"/>
      </w:pPr>
      <w:r>
        <w:t>Sensitive financial or personal data must not be retained solely for convenience.</w:t>
      </w:r>
    </w:p>
    <w:p>
      <w:pPr>
        <w:pStyle w:val="ListBullet"/>
      </w:pPr>
      <w:r>
        <w:t>Public repositories must not be used as an archival location for live customer data, Plaid tokens, bank credentials, or other restricted data.</w:t>
      </w:r>
    </w:p>
    <w:p>
      <w:pPr>
        <w:pStyle w:val="Heading2"/>
      </w:pPr>
      <w:r>
        <w:t>Retention requirements by data type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rPr>
                <w:rFonts w:ascii="Aptos" w:hAnsi="Aptos"/>
                <w:b/>
                <w:sz w:val="18"/>
              </w:rPr>
              <w:t>Data Type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b/>
                <w:sz w:val="18"/>
              </w:rPr>
              <w:t>Retention Rule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8"/>
              </w:rPr>
              <w:t>Secrets and access tokens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8"/>
              </w:rPr>
              <w:t>Retain only while operationally required; rotate or delete immediately when no longer needed or on suspected compromise.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8"/>
              </w:rPr>
              <w:t>Application and infrastructure logs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8"/>
              </w:rPr>
              <w:t>Retain only as long as needed for troubleshooting, monitoring, incident response, or legal obligations.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8"/>
              </w:rPr>
              <w:t>Sample or synthetic test data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8"/>
              </w:rPr>
              <w:t>Retain only while needed for development or validation.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8"/>
              </w:rPr>
              <w:t>Production financial or personal data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8"/>
              </w:rPr>
              <w:t>Retain only for the minimum period required for service delivery, contractual obligations, or legal compliance.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8"/>
              </w:rPr>
              <w:t>Backups containing sensitive data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Aptos" w:hAnsi="Aptos"/>
                <w:sz w:val="18"/>
              </w:rPr>
              <w:t>Retain only according to backup and recovery requirements and securely delete when expired.</w:t>
            </w:r>
          </w:p>
        </w:tc>
      </w:tr>
    </w:tbl>
    <w:p/>
    <w:p>
      <w:pPr>
        <w:pStyle w:val="Heading2"/>
      </w:pPr>
      <w:r>
        <w:t>Disposal and deletion requirements</w:t>
      </w:r>
    </w:p>
    <w:p>
      <w:pPr>
        <w:pStyle w:val="ListBullet"/>
      </w:pPr>
      <w:r>
        <w:t>Expired or no-longer-required secrets must be deleted or rotated from managed secret stores and dependent systems.</w:t>
      </w:r>
    </w:p>
    <w:p>
      <w:pPr>
        <w:pStyle w:val="ListBullet"/>
      </w:pPr>
      <w:r>
        <w:t>Logs and exported data sets reaching the end of their retention period must be securely deleted from managed storage where supported by the platform.</w:t>
      </w:r>
    </w:p>
    <w:p>
      <w:pPr>
        <w:pStyle w:val="ListBullet"/>
      </w:pPr>
      <w:r>
        <w:t>Temporary files, test exports, and local copies containing sensitive data must be deleted promptly after use.</w:t>
      </w:r>
    </w:p>
    <w:p>
      <w:pPr>
        <w:pStyle w:val="ListBullet"/>
      </w:pPr>
      <w:r>
        <w:t>If storage media or systems are decommissioned, provider-managed destruction or secure wipe processes must be used where applicable.</w:t>
      </w:r>
    </w:p>
    <w:p>
      <w:pPr>
        <w:pStyle w:val="Heading2"/>
      </w:pPr>
      <w:r>
        <w:t>Plaid-specific requirements</w:t>
      </w:r>
    </w:p>
    <w:p>
      <w:pPr>
        <w:pStyle w:val="ListBullet"/>
      </w:pPr>
      <w:r>
        <w:t>Plaid access tokens, item identifiers, and retrieved account or transaction data must remain outside public source control at all times.</w:t>
      </w:r>
    </w:p>
    <w:p>
      <w:pPr>
        <w:pStyle w:val="ListBullet"/>
      </w:pPr>
      <w:r>
        <w:t>Plaid-related financial data must be retained only for the period necessary to provide the integration function or satisfy legal obligations.</w:t>
      </w:r>
    </w:p>
    <w:p>
      <w:pPr>
        <w:pStyle w:val="ListBullet"/>
      </w:pPr>
      <w:r>
        <w:t>On account disconnect, credential rotation, or confirmed compromise, affected Plaid tokens and related cached data must be revoked or deleted as soon as practical.</w:t>
      </w:r>
    </w:p>
    <w:p>
      <w:pPr>
        <w:pStyle w:val="Heading2"/>
      </w:pPr>
      <w:r>
        <w:t>Review cadence</w:t>
      </w:r>
    </w:p>
    <w:p>
      <w:pPr>
        <w:pStyle w:val="ListBullet"/>
      </w:pPr>
      <w:r>
        <w:t>This policy must be reviewed at least annually.</w:t>
      </w:r>
    </w:p>
    <w:p>
      <w:pPr>
        <w:pStyle w:val="ListBullet"/>
      </w:pPr>
      <w:r>
        <w:t>This policy must be reviewed after any material architecture change, integration change, or security incident affecting retained data.</w:t>
      </w:r>
    </w:p>
    <w:p>
      <w:pPr>
        <w:pStyle w:val="ListBullet"/>
      </w:pPr>
      <w:r>
        <w:t>High-risk integrations must be reviewed at least quarterly for retention and disposal compliance.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