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Data Protection Policy</w:t>
      </w:r>
    </w:p>
    <w:p>
      <w:pPr>
        <w:pStyle w:val="Heading2"/>
      </w:pPr>
      <w:r>
        <w:t>Purpose</w:t>
      </w:r>
    </w:p>
    <w:p>
      <w:r>
        <w:t>This policy defines how application, integration, and operational data must be protected across development and deployment environments.</w:t>
      </w:r>
    </w:p>
    <w:p>
      <w:pPr>
        <w:pStyle w:val="Heading2"/>
      </w:pPr>
      <w:r>
        <w:t>Data classification</w:t>
      </w:r>
    </w:p>
    <w:p>
      <w:pPr>
        <w:pStyle w:val="ListBullet"/>
      </w:pPr>
      <w:r>
        <w:t>Public: open source code, public documentation, test fixtures without secrets, and non-sensitive metadata.</w:t>
      </w:r>
    </w:p>
    <w:p>
      <w:pPr>
        <w:pStyle w:val="ListBullet"/>
      </w:pPr>
      <w:r>
        <w:t>Internal: architecture notes, deployment details, issue discussions, and operational metadata not intended for broad public distribution.</w:t>
      </w:r>
    </w:p>
    <w:p>
      <w:pPr>
        <w:pStyle w:val="ListBullet"/>
      </w:pPr>
      <w:r>
        <w:t>Confidential: API credentials, tokens, cloud secrets, service account material, private keys, and non-public operational data.</w:t>
      </w:r>
    </w:p>
    <w:p>
      <w:pPr>
        <w:pStyle w:val="ListBullet"/>
      </w:pPr>
      <w:r>
        <w:t>Restricted: any real customer data, financial account data, authentication secrets, or regulated data introduced by external integrations.</w:t>
      </w:r>
    </w:p>
    <w:p>
      <w:pPr>
        <w:pStyle w:val="Heading2"/>
      </w:pPr>
      <w:r>
        <w:t>Observed data handling posture</w:t>
      </w:r>
    </w:p>
    <w:p>
      <w:pPr>
        <w:pStyle w:val="ListBullet"/>
      </w:pPr>
      <w:r>
        <w:t>Reviewed public repositories did not show committed production financial credentials or personal financial data.</w:t>
      </w:r>
    </w:p>
    <w:p>
      <w:pPr>
        <w:pStyle w:val="ListBullet"/>
      </w:pPr>
      <w:r>
        <w:t>louspringer/chatbot-llm references sample financial datasets and connected-service credentials for development and deployment.</w:t>
      </w:r>
    </w:p>
    <w:p>
      <w:pPr>
        <w:pStyle w:val="ListBullet"/>
      </w:pPr>
      <w:r>
        <w:t>nkllon/sharepoint-mcp processes authenticated SharePoint and Microsoft Graph requests and therefore handles access tokens and application credentials in runtime environments.</w:t>
      </w:r>
    </w:p>
    <w:p>
      <w:pPr>
        <w:pStyle w:val="Heading2"/>
      </w:pPr>
      <w:r>
        <w:t>Plaid and financial data scope</w:t>
      </w:r>
    </w:p>
    <w:p>
      <w:pPr>
        <w:pStyle w:val="ListBullet"/>
      </w:pPr>
      <w:r>
        <w:t>Public repositories must not store Plaid client secrets, access tokens, item identifiers, processor tokens, bank credentials, or raw consumer financial data.</w:t>
      </w:r>
    </w:p>
    <w:p>
      <w:pPr>
        <w:pStyle w:val="ListBullet"/>
      </w:pPr>
      <w:r>
        <w:t>Plaid-connected or otherwise financial-data-adjacent integrations must run only in controlled runtime environments.</w:t>
      </w:r>
    </w:p>
    <w:p>
      <w:pPr>
        <w:pStyle w:val="ListBullet"/>
      </w:pPr>
      <w:r>
        <w:t>Any Plaid tokens, account data, transaction data, balances, or derived financial records must be confined to managed runtime environments and approved secret or data stores, not public source control.</w:t>
      </w:r>
    </w:p>
    <w:p>
      <w:pPr>
        <w:pStyle w:val="ListBullet"/>
      </w:pPr>
      <w:r>
        <w:t>Development environments must use synthetic, sample, or otherwise non-production financial data unless a documented exception is approved by the maintainer.</w:t>
      </w:r>
    </w:p>
    <w:p>
      <w:pPr>
        <w:pStyle w:val="Heading2"/>
      </w:pPr>
      <w:r>
        <w:t>Data minimization</w:t>
      </w:r>
    </w:p>
    <w:p>
      <w:pPr>
        <w:pStyle w:val="ListBullet"/>
      </w:pPr>
      <w:r>
        <w:t>Repositories must store code, configuration templates, and documentation only.</w:t>
      </w:r>
    </w:p>
    <w:p>
      <w:pPr>
        <w:pStyle w:val="ListBullet"/>
      </w:pPr>
      <w:r>
        <w:t>Sensitive values must be provided at runtime through secret stores or environment injection rather than committed to source control.</w:t>
      </w:r>
    </w:p>
    <w:p>
      <w:pPr>
        <w:pStyle w:val="ListBullet"/>
      </w:pPr>
      <w:r>
        <w:t>Development and test environments must use synthetic, sample, or non-production data whenever possible.</w:t>
      </w:r>
    </w:p>
    <w:p>
      <w:pPr>
        <w:pStyle w:val="Heading2"/>
      </w:pPr>
      <w:r>
        <w:t>Encryption in transit</w:t>
      </w:r>
    </w:p>
    <w:p>
      <w:pPr>
        <w:pStyle w:val="ListBullet"/>
      </w:pPr>
      <w:r>
        <w:t>External API communication is expected to occur over HTTPS or provider-managed TLS endpoints.</w:t>
      </w:r>
    </w:p>
    <w:p>
      <w:pPr>
        <w:pStyle w:val="ListBullet"/>
      </w:pPr>
      <w:r>
        <w:t>Reviewed integrations with GitHub, Microsoft Graph, SharePoint, Google Cloud Run, Azure Key Vault, and cloud control planes inherently rely on TLS-enabled endpoints.</w:t>
      </w:r>
    </w:p>
    <w:p>
      <w:pPr>
        <w:pStyle w:val="Heading2"/>
      </w:pPr>
      <w:r>
        <w:t>Encryption at rest</w:t>
      </w:r>
    </w:p>
    <w:p>
      <w:pPr>
        <w:pStyle w:val="ListBullet"/>
      </w:pPr>
      <w:r>
        <w:t>Source code is stored in GitHub-managed storage.</w:t>
      </w:r>
    </w:p>
    <w:p>
      <w:pPr>
        <w:pStyle w:val="ListBullet"/>
      </w:pPr>
      <w:r>
        <w:t>Cloud secret stores such as GCP Secret Manager and Azure Key Vault must be used for sensitive values, relying on provider-managed encryption at rest.</w:t>
      </w:r>
    </w:p>
    <w:p>
      <w:pPr>
        <w:pStyle w:val="ListBullet"/>
      </w:pPr>
      <w:r>
        <w:t>Where production data or logs are retained in cloud platforms, encryption at rest must be provided by the underlying managed service.</w:t>
      </w:r>
    </w:p>
    <w:p>
      <w:pPr>
        <w:pStyle w:val="Heading2"/>
      </w:pPr>
      <w:r>
        <w:t>Environment separation</w:t>
      </w:r>
    </w:p>
    <w:p>
      <w:pPr>
        <w:pStyle w:val="ListBullet"/>
      </w:pPr>
      <w:r>
        <w:t>Development, testing, and production values must be separated by distinct environment variables, secret entries, and cloud resources.</w:t>
      </w:r>
    </w:p>
    <w:p>
      <w:pPr>
        <w:pStyle w:val="ListBullet"/>
      </w:pPr>
      <w:r>
        <w:t>Local development must not reuse production secrets unless there is a documented emergency requirement.</w:t>
      </w:r>
    </w:p>
    <w:p>
      <w:pPr>
        <w:pStyle w:val="ListBullet"/>
      </w:pPr>
      <w:r>
        <w:t>Production deployment artifacts must be built without embedding secrets in the image or repository.</w:t>
      </w:r>
    </w:p>
    <w:p>
      <w:pPr>
        <w:pStyle w:val="Heading2"/>
      </w:pPr>
      <w:r>
        <w:t>Logging and redaction</w:t>
      </w:r>
    </w:p>
    <w:p>
      <w:pPr>
        <w:pStyle w:val="ListBullet"/>
      </w:pPr>
      <w:r>
        <w:t>Secrets, access tokens, authorization headers, API keys, session cookies, and raw institution credentials must never be logged.</w:t>
      </w:r>
    </w:p>
    <w:p>
      <w:pPr>
        <w:pStyle w:val="ListBullet"/>
      </w:pPr>
      <w:r>
        <w:t>Raw financial payloads and full account or transaction records must not be written to application logs except where explicitly required for a controlled incident investigation.</w:t>
      </w:r>
    </w:p>
    <w:p>
      <w:pPr>
        <w:pStyle w:val="ListBullet"/>
      </w:pPr>
      <w:r>
        <w:t>Logs used for troubleshooting must be redacted to remove secrets and sensitive personal or financial fields before sharing.</w:t>
      </w:r>
    </w:p>
    <w:p>
      <w:pPr>
        <w:pStyle w:val="Heading2"/>
      </w:pPr>
      <w:r>
        <w:t>Retention and deletion</w:t>
      </w:r>
    </w:p>
    <w:p>
      <w:pPr>
        <w:pStyle w:val="ListBullet"/>
      </w:pPr>
      <w:r>
        <w:t>Secrets and tokens must be deleted or rotated when no longer required.</w:t>
      </w:r>
    </w:p>
    <w:p>
      <w:pPr>
        <w:pStyle w:val="ListBullet"/>
      </w:pPr>
      <w:r>
        <w:t>Logs must avoid storing secrets and must be retained only as long as operationally necessary.</w:t>
      </w:r>
    </w:p>
    <w:p>
      <w:pPr>
        <w:pStyle w:val="ListBullet"/>
      </w:pPr>
      <w:r>
        <w:t>Any real customer or financial data introduced into a connected system must be retained only for the minimum period required by application function or legal obligation.</w:t>
      </w:r>
    </w:p>
    <w:p>
      <w:pPr>
        <w:pStyle w:val="Heading2"/>
      </w:pPr>
      <w:r>
        <w:t>Review cadence</w:t>
      </w:r>
    </w:p>
    <w:p>
      <w:pPr>
        <w:pStyle w:val="ListBullet"/>
      </w:pPr>
      <w:r>
        <w:t>This policy must be reviewed at least annually.</w:t>
      </w:r>
    </w:p>
    <w:p>
      <w:pPr>
        <w:pStyle w:val="ListBullet"/>
      </w:pPr>
      <w:r>
        <w:t>High-risk integration repositories must be reviewed at least quarterly.</w:t>
      </w:r>
    </w:p>
    <w:p>
      <w:pPr>
        <w:pStyle w:val="ListBullet"/>
      </w:pPr>
      <w:r>
        <w:t>This policy must be updated after any material architecture change, introduction of a new financial-data integration, or security incident.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ptos" w:hAnsi="Aptos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