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Policy</w:t>
      </w:r>
    </w:p>
    <w:p>
      <w:pPr>
        <w:pStyle w:val="Heading2"/>
      </w:pPr>
      <w:r>
        <w:t>Purpose</w:t>
      </w:r>
    </w:p>
    <w:p>
      <w:r>
        <w:t>This policy defines the minimum incident response process for a solo developer operating open source and integration-focused software.</w:t>
      </w:r>
    </w:p>
    <w:p>
      <w:pPr>
        <w:pStyle w:val="Heading2"/>
      </w:pPr>
      <w:r>
        <w:t>Incident types</w:t>
      </w:r>
    </w:p>
    <w:p>
      <w:pPr>
        <w:pStyle w:val="ListBullet"/>
      </w:pPr>
      <w:r>
        <w:t>Suspected credential exposure</w:t>
      </w:r>
    </w:p>
    <w:p>
      <w:pPr>
        <w:pStyle w:val="ListBullet"/>
      </w:pPr>
      <w:r>
        <w:t>Suspected or confirmed Plaid secret or token exposure</w:t>
      </w:r>
    </w:p>
    <w:p>
      <w:pPr>
        <w:pStyle w:val="ListBullet"/>
      </w:pPr>
      <w:r>
        <w:t>Unauthorized repository or infrastructure access</w:t>
      </w:r>
    </w:p>
    <w:p>
      <w:pPr>
        <w:pStyle w:val="ListBullet"/>
      </w:pPr>
      <w:r>
        <w:t>Exposure of sensitive data</w:t>
      </w:r>
    </w:p>
    <w:p>
      <w:pPr>
        <w:pStyle w:val="ListBullet"/>
      </w:pPr>
      <w:r>
        <w:t>Vulnerability exploitation</w:t>
      </w:r>
    </w:p>
    <w:p>
      <w:pPr>
        <w:pStyle w:val="ListBullet"/>
      </w:pPr>
      <w:r>
        <w:t>Malicious dependency or supply chain event</w:t>
      </w:r>
    </w:p>
    <w:p>
      <w:pPr>
        <w:pStyle w:val="ListBullet"/>
      </w:pPr>
      <w:r>
        <w:t>Material service outage affecting security controls</w:t>
      </w:r>
    </w:p>
    <w:p>
      <w:pPr>
        <w:pStyle w:val="Heading2"/>
      </w:pPr>
      <w:r>
        <w:t>Response roles</w:t>
      </w:r>
    </w:p>
    <w:p>
      <w:pPr>
        <w:pStyle w:val="ListBullet"/>
      </w:pPr>
      <w:r>
        <w:t>Incident commander: repository owner / maintainer</w:t>
      </w:r>
    </w:p>
    <w:p>
      <w:pPr>
        <w:pStyle w:val="ListBullet"/>
      </w:pPr>
      <w:r>
        <w:t>Communications owner: repository owner / maintainer</w:t>
      </w:r>
    </w:p>
    <w:p>
      <w:pPr>
        <w:pStyle w:val="ListBullet"/>
      </w:pPr>
      <w:r>
        <w:t>Technical investigator: repository owner / maintainer, with external maintainers or providers engaged as needed</w:t>
      </w:r>
    </w:p>
    <w:p>
      <w:pPr>
        <w:pStyle w:val="Heading2"/>
      </w:pPr>
      <w:r>
        <w:t>Severity classification</w:t>
      </w:r>
    </w:p>
    <w:p>
      <w:pPr>
        <w:pStyle w:val="ListBullet"/>
      </w:pPr>
      <w:r>
        <w:t>Critical: confirmed compromise of production credentials, access tokens, secret stores, or regulated or sensitive financial data.</w:t>
      </w:r>
    </w:p>
    <w:p>
      <w:pPr>
        <w:pStyle w:val="ListBullet"/>
      </w:pPr>
      <w:r>
        <w:t>High: likely compromise, active exploitation, or security failure affecting a production integration or protected branch.</w:t>
      </w:r>
    </w:p>
    <w:p>
      <w:pPr>
        <w:pStyle w:val="ListBullet"/>
      </w:pPr>
      <w:r>
        <w:t>Medium: validated vulnerability or exposure with limited scope and no evidence of active compromise.</w:t>
      </w:r>
    </w:p>
    <w:p>
      <w:pPr>
        <w:pStyle w:val="ListBullet"/>
      </w:pPr>
      <w:r>
        <w:t>Low: security hygiene issue, policy gap, or non-exploited weakness.</w:t>
      </w:r>
    </w:p>
    <w:p>
      <w:pPr>
        <w:pStyle w:val="Heading3"/>
      </w:pPr>
      <w:r>
        <w:t>1. Detection</w:t>
      </w:r>
    </w:p>
    <w:p>
      <w:pPr>
        <w:pStyle w:val="ListBullet"/>
      </w:pPr>
      <w:r>
        <w:t>Detect incidents through GitHub alerts, CI failures, cloud-provider alerts, issue reports, user reports, or manual review.</w:t>
      </w:r>
    </w:p>
    <w:p>
      <w:pPr>
        <w:pStyle w:val="Heading3"/>
      </w:pPr>
      <w:r>
        <w:t>2. Containment</w:t>
      </w:r>
    </w:p>
    <w:p>
      <w:pPr>
        <w:pStyle w:val="ListBullet"/>
      </w:pPr>
      <w:r>
        <w:t>Disable or rotate affected credentials.</w:t>
      </w:r>
    </w:p>
    <w:p>
      <w:pPr>
        <w:pStyle w:val="ListBullet"/>
      </w:pPr>
      <w:r>
        <w:t>Restrict repository, deployment, or cloud access as needed.</w:t>
      </w:r>
    </w:p>
    <w:p>
      <w:pPr>
        <w:pStyle w:val="ListBullet"/>
      </w:pPr>
      <w:r>
        <w:t>Pause affected integrations or deployments when active compromise is suspected.</w:t>
      </w:r>
    </w:p>
    <w:p>
      <w:pPr>
        <w:pStyle w:val="ListBullet"/>
      </w:pPr>
      <w:r>
        <w:t>On confirmed compromise of Plaid or equivalent financial-integration credentials, affected secrets must be rotated immediately, active tokens must be revoked where supported, and affected integrations must be suspended until the environment is validated.</w:t>
      </w:r>
    </w:p>
    <w:p>
      <w:pPr>
        <w:pStyle w:val="Heading3"/>
      </w:pPr>
      <w:r>
        <w:t>3. Investigation</w:t>
      </w:r>
    </w:p>
    <w:p>
      <w:pPr>
        <w:pStyle w:val="ListBullet"/>
      </w:pPr>
      <w:r>
        <w:t>Review commit history, workflow runs, logs, issue reports, and provider audit data where available.</w:t>
      </w:r>
    </w:p>
    <w:p>
      <w:pPr>
        <w:pStyle w:val="ListBullet"/>
      </w:pPr>
      <w:r>
        <w:t>Determine scope, affected systems, exposed secrets, and whether sensitive data was accessed or exfiltrated.</w:t>
      </w:r>
    </w:p>
    <w:p>
      <w:pPr>
        <w:pStyle w:val="Heading3"/>
      </w:pPr>
      <w:r>
        <w:t>4. Remediation</w:t>
      </w:r>
    </w:p>
    <w:p>
      <w:pPr>
        <w:pStyle w:val="ListBullet"/>
      </w:pPr>
      <w:r>
        <w:t>Remove exposed material from active use.</w:t>
      </w:r>
    </w:p>
    <w:p>
      <w:pPr>
        <w:pStyle w:val="ListBullet"/>
      </w:pPr>
      <w:r>
        <w:t>Patch vulnerable code or dependencies.</w:t>
      </w:r>
    </w:p>
    <w:p>
      <w:pPr>
        <w:pStyle w:val="ListBullet"/>
      </w:pPr>
      <w:r>
        <w:t>Rebuild and redeploy affected services from known-good source.</w:t>
      </w:r>
    </w:p>
    <w:p>
      <w:pPr>
        <w:pStyle w:val="ListBullet"/>
      </w:pPr>
      <w:r>
        <w:t>Tighten controls if the incident exposed a process gap.</w:t>
      </w:r>
    </w:p>
    <w:p>
      <w:pPr>
        <w:pStyle w:val="Heading3"/>
      </w:pPr>
      <w:r>
        <w:t>5. Disclosure</w:t>
      </w:r>
    </w:p>
    <w:p>
      <w:pPr>
        <w:pStyle w:val="ListBullet"/>
      </w:pPr>
      <w:r>
        <w:t>Notify affected partners, users, or platform providers when disclosure is appropriate.</w:t>
      </w:r>
    </w:p>
    <w:p>
      <w:pPr>
        <w:pStyle w:val="ListBullet"/>
      </w:pPr>
      <w:r>
        <w:t>Public repositories must document material security issues through advisories, issue updates, or other suitable channels after containment.</w:t>
      </w:r>
    </w:p>
    <w:p>
      <w:pPr>
        <w:pStyle w:val="ListBullet"/>
      </w:pPr>
      <w:r>
        <w:t>Critical incidents affecting third-party integrations, customer data, or security credentials must be evaluated for partner notification immediately after initial containment.</w:t>
      </w:r>
    </w:p>
    <w:p>
      <w:pPr>
        <w:pStyle w:val="Heading2"/>
      </w:pPr>
      <w:r>
        <w:t>Timing expectations</w:t>
      </w:r>
    </w:p>
    <w:p>
      <w:pPr>
        <w:pStyle w:val="ListBullet"/>
      </w:pPr>
      <w:r>
        <w:t>Critical credential exposure: begin containment immediately.</w:t>
      </w:r>
    </w:p>
    <w:p>
      <w:pPr>
        <w:pStyle w:val="ListBullet"/>
      </w:pPr>
      <w:r>
        <w:t>High-severity confirmed incident: investigate and remediate as soon as practical, targeting same-day triage.</w:t>
      </w:r>
    </w:p>
    <w:p>
      <w:pPr>
        <w:pStyle w:val="ListBullet"/>
      </w:pPr>
      <w:r>
        <w:t>Lower-severity events: address in the next normal maintenance cycle unless exploitation risk is elevated.</w:t>
      </w:r>
    </w:p>
    <w:p>
      <w:pPr>
        <w:pStyle w:val="ListBullet"/>
      </w:pPr>
      <w:r>
        <w:t>Exposed Plaid or equivalent production secrets must be rotated immediately upon confirmation or strong suspicion of compromise.</w:t>
      </w:r>
    </w:p>
    <w:p>
      <w:pPr>
        <w:pStyle w:val="Heading2"/>
      </w:pPr>
      <w:r>
        <w:t>Evidence retention</w:t>
      </w:r>
    </w:p>
    <w:p>
      <w:pPr>
        <w:pStyle w:val="ListBullet"/>
      </w:pPr>
      <w:r>
        <w:t>Preserve relevant commits, logs, workflow outputs, and screenshots as needed to support investigation and post-incident review.</w:t>
      </w:r>
    </w:p>
    <w:p>
      <w:pPr>
        <w:pStyle w:val="Heading2"/>
      </w:pPr>
      <w:r>
        <w:t>Post-incident review</w:t>
      </w:r>
    </w:p>
    <w:p>
      <w:pPr>
        <w:pStyle w:val="ListBullet"/>
      </w:pPr>
      <w:r>
        <w:t>Record root cause, impact, actions taken, and follow-up improvements.</w:t>
      </w:r>
    </w:p>
    <w:p>
      <w:pPr>
        <w:pStyle w:val="ListBullet"/>
      </w:pPr>
      <w:r>
        <w:t>Corrective actions must be tracked to completion.</w:t>
      </w:r>
    </w:p>
    <w:p>
      <w:pPr>
        <w:pStyle w:val="ListBullet"/>
      </w:pPr>
      <w:r>
        <w:t>Policy, CI, branch protections, deployment controls, and secret handling practices must be updated if the incident reveals control gaps.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