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Source Security Model</w:t>
      </w:r>
    </w:p>
    <w:p>
      <w:pPr>
        <w:pStyle w:val="Heading2"/>
      </w:pPr>
      <w:r>
        <w:t>Overview</w:t>
      </w:r>
    </w:p>
    <w:p>
      <w:r>
        <w:t>This repository portfolio relies heavily on open source development practices. Public repositories are treated as transparent design and implementation artifacts, while sensitive runtime values and deployment-specific secrets remain outside source control.</w:t>
      </w:r>
    </w:p>
    <w:p>
      <w:pPr>
        <w:pStyle w:val="Heading2"/>
      </w:pPr>
      <w:r>
        <w:t>Security advantages of the model</w:t>
      </w:r>
    </w:p>
    <w:p>
      <w:pPr>
        <w:pStyle w:val="ListBullet"/>
      </w:pPr>
      <w:r>
        <w:t>Transparency allows external review of code, workflows, configuration patterns, and architectural decisions.</w:t>
      </w:r>
    </w:p>
    <w:p>
      <w:pPr>
        <w:pStyle w:val="ListBullet"/>
      </w:pPr>
      <w:r>
        <w:t>GitHub issues and pull requests provide a traceable record of changes and defects.</w:t>
      </w:r>
    </w:p>
    <w:p>
      <w:pPr>
        <w:pStyle w:val="ListBullet"/>
      </w:pPr>
      <w:r>
        <w:t>CI workflows help detect syntax, test, packaging, and some security failures before merge.</w:t>
      </w:r>
    </w:p>
    <w:p>
      <w:pPr>
        <w:pStyle w:val="ListBullet"/>
      </w:pPr>
      <w:r>
        <w:t>Dependency automation and scanning features can surface known vulnerable packages earlier than manual review alone.</w:t>
      </w:r>
    </w:p>
    <w:p>
      <w:pPr>
        <w:pStyle w:val="Heading2"/>
      </w:pPr>
      <w:r>
        <w:t>Limits of the model</w:t>
      </w:r>
    </w:p>
    <w:p>
      <w:pPr>
        <w:pStyle w:val="ListBullet"/>
      </w:pPr>
      <w:r>
        <w:t>Public visibility does not replace formal internal segregation of duties.</w:t>
      </w:r>
    </w:p>
    <w:p>
      <w:pPr>
        <w:pStyle w:val="ListBullet"/>
      </w:pPr>
      <w:r>
        <w:t>Open source review is opportunistic; not every change receives expert external security review.</w:t>
      </w:r>
    </w:p>
    <w:p>
      <w:pPr>
        <w:pStyle w:val="ListBullet"/>
      </w:pPr>
      <w:r>
        <w:t>Security maturity varies across repositories and older repositories may not implement the same controls as newer projects.</w:t>
      </w:r>
    </w:p>
    <w:p>
      <w:pPr>
        <w:pStyle w:val="Heading2"/>
      </w:pPr>
      <w:r>
        <w:t>Public repository rules</w:t>
      </w:r>
    </w:p>
    <w:p>
      <w:pPr>
        <w:pStyle w:val="ListBullet"/>
      </w:pPr>
      <w:r>
        <w:t>No sensitive financial credentials or personal financial data are stored in public repositories.</w:t>
      </w:r>
    </w:p>
    <w:p>
      <w:pPr>
        <w:pStyle w:val="ListBullet"/>
      </w:pPr>
      <w:r>
        <w:t>Public repositories may include templates, placeholders, sample values, and integration documentation, but not live production secrets.</w:t>
      </w:r>
    </w:p>
    <w:p>
      <w:pPr>
        <w:pStyle w:val="ListBullet"/>
      </w:pPr>
      <w:r>
        <w:t>Operational secrets must be injected at runtime or stored in managed secret systems.</w:t>
      </w:r>
    </w:p>
    <w:p>
      <w:pPr>
        <w:pStyle w:val="ListBullet"/>
      </w:pPr>
      <w:r>
        <w:t>Plaid-connected runtimes, access tokens, account data, and derived financial records are outside the scope of public source control and must remain in controlled runtime environments.</w:t>
      </w:r>
    </w:p>
    <w:p>
      <w:pPr>
        <w:pStyle w:val="Heading2"/>
      </w:pPr>
      <w:r>
        <w:t>Review and contribution model</w:t>
      </w:r>
    </w:p>
    <w:p>
      <w:pPr>
        <w:pStyle w:val="ListBullet"/>
      </w:pPr>
      <w:r>
        <w:t>External users may report issues or propose fixes through standard GitHub workflows.</w:t>
      </w:r>
    </w:p>
    <w:p>
      <w:pPr>
        <w:pStyle w:val="ListBullet"/>
      </w:pPr>
      <w:r>
        <w:t>The maintainer is responsible for validating, merging, and deploying security-relevant changes.</w:t>
      </w:r>
    </w:p>
    <w:p>
      <w:pPr>
        <w:pStyle w:val="ListBullet"/>
      </w:pPr>
      <w:r>
        <w:t>High-risk integration repositories must receive closer review and stronger branch protections than low-risk experimental repositories.</w:t>
      </w:r>
    </w:p>
    <w:p>
      <w:pPr>
        <w:pStyle w:val="Heading2"/>
      </w:pPr>
      <w:r>
        <w:t>Review cadence</w:t>
      </w:r>
    </w:p>
    <w:p>
      <w:pPr>
        <w:pStyle w:val="ListBullet"/>
      </w:pPr>
      <w:r>
        <w:t>This model must be reviewed at least annually and after any material change to financial-data integrations or deployment boundaries.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