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Third-Party Services and Subprocessors</w:t>
      </w:r>
    </w:p>
    <w:p>
      <w:pPr>
        <w:pStyle w:val="Heading2"/>
      </w:pPr>
      <w:r>
        <w:t>Purpose</w:t>
      </w:r>
    </w:p>
    <w:p>
      <w:r>
        <w:t>This document summarizes the main third-party services referenced by the reviewed repositories and the control expectations that apply to them.</w:t>
      </w:r>
    </w:p>
    <w:p>
      <w:pPr>
        <w:pStyle w:val="Heading2"/>
      </w:pPr>
      <w:r>
        <w:t>Categories observed in reviewed repositories</w:t>
      </w:r>
    </w:p>
    <w:p>
      <w:pPr>
        <w:pStyle w:val="ListBullet"/>
      </w:pPr>
      <w:r>
        <w:t>Source control and CI/CD: GitHub, GitHub Actions, Dependabot</w:t>
      </w:r>
    </w:p>
    <w:p>
      <w:pPr>
        <w:pStyle w:val="ListBullet"/>
      </w:pPr>
      <w:r>
        <w:t>Secret management: GCP Secret Manager, Azure Key Vault, 1Password</w:t>
      </w:r>
    </w:p>
    <w:p>
      <w:pPr>
        <w:pStyle w:val="ListBullet"/>
      </w:pPr>
      <w:r>
        <w:t>Cloud hosting and infrastructure: Google Cloud Run, Azure Databricks, documented AWS ECS patterns</w:t>
      </w:r>
    </w:p>
    <w:p>
      <w:pPr>
        <w:pStyle w:val="ListBullet"/>
      </w:pPr>
      <w:r>
        <w:t>External APIs and platforms: Microsoft Graph, SharePoint, Snowflake</w:t>
      </w:r>
    </w:p>
    <w:p>
      <w:pPr>
        <w:pStyle w:val="Heading2"/>
      </w:pPr>
      <w:r>
        <w:t>Control expectations</w:t>
      </w:r>
    </w:p>
    <w:p>
      <w:pPr>
        <w:pStyle w:val="ListBullet"/>
      </w:pPr>
      <w:r>
        <w:t>Third-party services must be accessed using individual user identities, managed identities, service accounts, or provider-approved credentials.</w:t>
      </w:r>
    </w:p>
    <w:p>
      <w:pPr>
        <w:pStyle w:val="ListBullet"/>
      </w:pPr>
      <w:r>
        <w:t>Production secrets for third-party services must be stored only in managed secret stores or equivalent approved secure tooling.</w:t>
      </w:r>
    </w:p>
    <w:p>
      <w:pPr>
        <w:pStyle w:val="ListBullet"/>
      </w:pPr>
      <w:r>
        <w:t>Access to third-party administrative consoles must be limited to the maintainer and explicitly authorized collaborators.</w:t>
      </w:r>
    </w:p>
    <w:p>
      <w:pPr>
        <w:pStyle w:val="ListBullet"/>
      </w:pPr>
      <w:r>
        <w:t>Logs and diagnostics sent to third-party platforms must not include secrets, access tokens, authorization headers, or raw sensitive financial payloads.</w:t>
      </w:r>
    </w:p>
    <w:p>
      <w:pPr>
        <w:pStyle w:val="Heading2"/>
      </w:pPr>
      <w:r>
        <w:t>Plaid-specific expectation</w:t>
      </w:r>
    </w:p>
    <w:p>
      <w:pPr>
        <w:pStyle w:val="ListBullet"/>
      </w:pPr>
      <w:r>
        <w:t>If Plaid is added to the environment, Plaid credentials, access tokens, and retrieved financial data must remain outside public source control and must be processed only in controlled runtime environments.</w:t>
      </w:r>
    </w:p>
    <w:p>
      <w:pPr>
        <w:pStyle w:val="Heading2"/>
      </w:pPr>
      <w:r>
        <w:t>Review cadence</w:t>
      </w:r>
    </w:p>
    <w:p>
      <w:pPr>
        <w:pStyle w:val="ListBullet"/>
      </w:pPr>
      <w:r>
        <w:t>This document must be reviewed at least annually and after any material change to hosting, CI, secret storage, or external integrations.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" w:hAnsi="Apto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