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69139" w14:textId="5D6DCDC6" w:rsidR="008A6E85" w:rsidRPr="008A6E85" w:rsidRDefault="00020942" w:rsidP="008A6E85">
      <w:pPr>
        <w:rPr>
          <w:rFonts w:eastAsia="Times New Roman"/>
        </w:rPr>
      </w:pPr>
      <w:r>
        <w:rPr>
          <w:rFonts w:ascii="Arial" w:eastAsia="Times New Roman" w:hAnsi="Arial" w:cs="Arial"/>
          <w:b/>
          <w:bCs/>
          <w:color w:val="000000"/>
          <w:sz w:val="48"/>
          <w:szCs w:val="48"/>
        </w:rPr>
        <w:t xml:space="preserve">Case Study 3 &amp; 4: Bank Risk Assessment </w:t>
      </w:r>
      <w:bookmarkStart w:id="0" w:name="_GoBack"/>
      <w:bookmarkEnd w:id="0"/>
    </w:p>
    <w:p w14:paraId="607366B1" w14:textId="77777777" w:rsidR="00164603" w:rsidRDefault="00164603"/>
    <w:p w14:paraId="46377C27" w14:textId="77777777" w:rsidR="00164603" w:rsidRDefault="002709E5">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rFonts w:ascii="Times New Roman" w:hAnsi="Times New Roman" w:cs="Times New Roman"/>
          <w:b/>
          <w:bCs/>
          <w:noProof/>
          <w:kern w:val="0"/>
          <w:lang w:eastAsia="en-US"/>
        </w:rPr>
      </w:sdtEndPr>
      <w:sdtContent>
        <w:p w14:paraId="59A2B491" w14:textId="77777777" w:rsidR="00164603" w:rsidRPr="0080129D" w:rsidRDefault="002709E5" w:rsidP="0080129D">
          <w:pPr>
            <w:pStyle w:val="TOCHeading"/>
            <w:spacing w:line="480" w:lineRule="auto"/>
            <w:rPr>
              <w:sz w:val="36"/>
              <w:szCs w:val="36"/>
            </w:rPr>
          </w:pPr>
          <w:r w:rsidRPr="0080129D">
            <w:rPr>
              <w:sz w:val="36"/>
              <w:szCs w:val="36"/>
            </w:rPr>
            <w:t>Table of Contents</w:t>
          </w:r>
        </w:p>
        <w:p w14:paraId="51F5F4B1" w14:textId="77777777" w:rsidR="00164603" w:rsidRPr="0080129D" w:rsidRDefault="002709E5" w:rsidP="0080129D">
          <w:pPr>
            <w:pStyle w:val="TOC1"/>
            <w:tabs>
              <w:tab w:val="right" w:leader="dot" w:pos="9350"/>
            </w:tabs>
            <w:spacing w:line="480" w:lineRule="auto"/>
            <w:rPr>
              <w:noProof/>
              <w:sz w:val="36"/>
              <w:szCs w:val="36"/>
            </w:rPr>
          </w:pPr>
          <w:r w:rsidRPr="0080129D">
            <w:rPr>
              <w:sz w:val="36"/>
              <w:szCs w:val="36"/>
            </w:rPr>
            <w:fldChar w:fldCharType="begin"/>
          </w:r>
          <w:r w:rsidRPr="0080129D">
            <w:rPr>
              <w:sz w:val="36"/>
              <w:szCs w:val="36"/>
            </w:rPr>
            <w:instrText xml:space="preserve"> TOC \o "1-3" \h \z \u </w:instrText>
          </w:r>
          <w:r w:rsidRPr="0080129D">
            <w:rPr>
              <w:sz w:val="36"/>
              <w:szCs w:val="36"/>
            </w:rPr>
            <w:fldChar w:fldCharType="separate"/>
          </w:r>
          <w:hyperlink w:anchor="_Toc409783205" w:history="1">
            <w:r w:rsidR="00B2665C" w:rsidRPr="0080129D">
              <w:rPr>
                <w:rStyle w:val="Hyperlink"/>
                <w:noProof/>
                <w:sz w:val="36"/>
                <w:szCs w:val="36"/>
              </w:rPr>
              <w:t>Executive Summary</w:t>
            </w:r>
            <w:r w:rsidRPr="0080129D">
              <w:rPr>
                <w:noProof/>
                <w:webHidden/>
                <w:sz w:val="36"/>
                <w:szCs w:val="36"/>
              </w:rPr>
              <w:tab/>
            </w:r>
            <w:r w:rsidRPr="0080129D">
              <w:rPr>
                <w:noProof/>
                <w:webHidden/>
                <w:sz w:val="36"/>
                <w:szCs w:val="36"/>
              </w:rPr>
              <w:fldChar w:fldCharType="begin"/>
            </w:r>
            <w:r w:rsidRPr="0080129D">
              <w:rPr>
                <w:noProof/>
                <w:webHidden/>
                <w:sz w:val="36"/>
                <w:szCs w:val="36"/>
              </w:rPr>
              <w:instrText xml:space="preserve"> PAGEREF _Toc409783205 \h </w:instrText>
            </w:r>
            <w:r w:rsidRPr="0080129D">
              <w:rPr>
                <w:noProof/>
                <w:webHidden/>
                <w:sz w:val="36"/>
                <w:szCs w:val="36"/>
              </w:rPr>
            </w:r>
            <w:r w:rsidRPr="0080129D">
              <w:rPr>
                <w:noProof/>
                <w:webHidden/>
                <w:sz w:val="36"/>
                <w:szCs w:val="36"/>
              </w:rPr>
              <w:fldChar w:fldCharType="separate"/>
            </w:r>
            <w:r w:rsidR="00D2465E" w:rsidRPr="0080129D">
              <w:rPr>
                <w:noProof/>
                <w:webHidden/>
                <w:sz w:val="36"/>
                <w:szCs w:val="36"/>
              </w:rPr>
              <w:t>3</w:t>
            </w:r>
            <w:r w:rsidRPr="0080129D">
              <w:rPr>
                <w:noProof/>
                <w:webHidden/>
                <w:sz w:val="36"/>
                <w:szCs w:val="36"/>
              </w:rPr>
              <w:fldChar w:fldCharType="end"/>
            </w:r>
          </w:hyperlink>
        </w:p>
        <w:p w14:paraId="63B91838" w14:textId="77777777" w:rsidR="00164603" w:rsidRPr="0080129D" w:rsidRDefault="009366EB" w:rsidP="0080129D">
          <w:pPr>
            <w:pStyle w:val="TOC1"/>
            <w:tabs>
              <w:tab w:val="right" w:leader="dot" w:pos="9350"/>
            </w:tabs>
            <w:spacing w:line="480" w:lineRule="auto"/>
            <w:rPr>
              <w:noProof/>
              <w:sz w:val="36"/>
              <w:szCs w:val="36"/>
            </w:rPr>
          </w:pPr>
          <w:hyperlink w:anchor="_Toc409783206" w:history="1">
            <w:r w:rsidR="00B2665C" w:rsidRPr="0080129D">
              <w:rPr>
                <w:rStyle w:val="Hyperlink"/>
                <w:noProof/>
                <w:sz w:val="36"/>
                <w:szCs w:val="36"/>
              </w:rPr>
              <w:t>Method</w:t>
            </w:r>
            <w:r w:rsidR="002709E5" w:rsidRPr="0080129D">
              <w:rPr>
                <w:noProof/>
                <w:webHidden/>
                <w:sz w:val="36"/>
                <w:szCs w:val="36"/>
              </w:rPr>
              <w:tab/>
            </w:r>
            <w:r w:rsidR="00B2665C" w:rsidRPr="0080129D">
              <w:rPr>
                <w:noProof/>
                <w:webHidden/>
                <w:sz w:val="36"/>
                <w:szCs w:val="36"/>
              </w:rPr>
              <w:t>4</w:t>
            </w:r>
          </w:hyperlink>
        </w:p>
        <w:p w14:paraId="4E354542" w14:textId="7D5495A0" w:rsidR="00164603" w:rsidRPr="0080129D" w:rsidRDefault="009366EB" w:rsidP="0080129D">
          <w:pPr>
            <w:pStyle w:val="TOC1"/>
            <w:tabs>
              <w:tab w:val="right" w:leader="dot" w:pos="9350"/>
            </w:tabs>
            <w:spacing w:line="480" w:lineRule="auto"/>
            <w:rPr>
              <w:noProof/>
              <w:sz w:val="36"/>
              <w:szCs w:val="36"/>
            </w:rPr>
          </w:pPr>
          <w:hyperlink w:anchor="_Toc409783211" w:history="1">
            <w:r w:rsidR="00117894" w:rsidRPr="0080129D">
              <w:rPr>
                <w:rStyle w:val="Hyperlink"/>
                <w:noProof/>
                <w:sz w:val="36"/>
                <w:szCs w:val="36"/>
              </w:rPr>
              <w:t>Conclusion</w:t>
            </w:r>
            <w:r w:rsidR="002709E5" w:rsidRPr="0080129D">
              <w:rPr>
                <w:noProof/>
                <w:webHidden/>
                <w:sz w:val="36"/>
                <w:szCs w:val="36"/>
              </w:rPr>
              <w:tab/>
            </w:r>
            <w:r w:rsidR="0080129D" w:rsidRPr="0080129D">
              <w:rPr>
                <w:noProof/>
                <w:webHidden/>
                <w:sz w:val="36"/>
                <w:szCs w:val="36"/>
              </w:rPr>
              <w:t>6</w:t>
            </w:r>
          </w:hyperlink>
        </w:p>
        <w:p w14:paraId="6CAED927" w14:textId="58A2F69C" w:rsidR="00164603" w:rsidRPr="0080129D" w:rsidRDefault="009366EB" w:rsidP="0080129D">
          <w:pPr>
            <w:pStyle w:val="TOC1"/>
            <w:tabs>
              <w:tab w:val="right" w:leader="dot" w:pos="9350"/>
            </w:tabs>
            <w:spacing w:line="480" w:lineRule="auto"/>
            <w:rPr>
              <w:noProof/>
              <w:sz w:val="36"/>
              <w:szCs w:val="36"/>
            </w:rPr>
          </w:pPr>
          <w:hyperlink w:anchor="_Toc409783212" w:history="1">
            <w:r w:rsidR="00117894" w:rsidRPr="0080129D">
              <w:rPr>
                <w:rStyle w:val="Hyperlink"/>
                <w:noProof/>
                <w:sz w:val="36"/>
                <w:szCs w:val="36"/>
              </w:rPr>
              <w:t>Appe</w:t>
            </w:r>
            <w:r w:rsidR="00F310F5" w:rsidRPr="0080129D">
              <w:rPr>
                <w:rStyle w:val="Hyperlink"/>
                <w:noProof/>
                <w:sz w:val="36"/>
                <w:szCs w:val="36"/>
              </w:rPr>
              <w:t>n</w:t>
            </w:r>
            <w:r w:rsidR="00117894" w:rsidRPr="0080129D">
              <w:rPr>
                <w:rStyle w:val="Hyperlink"/>
                <w:noProof/>
                <w:sz w:val="36"/>
                <w:szCs w:val="36"/>
              </w:rPr>
              <w:t>dix</w:t>
            </w:r>
            <w:r w:rsidR="00F310F5" w:rsidRPr="0080129D">
              <w:rPr>
                <w:rStyle w:val="Hyperlink"/>
                <w:noProof/>
                <w:sz w:val="36"/>
                <w:szCs w:val="36"/>
              </w:rPr>
              <w:t xml:space="preserve"> A</w:t>
            </w:r>
            <w:r w:rsidR="002709E5" w:rsidRPr="0080129D">
              <w:rPr>
                <w:noProof/>
                <w:webHidden/>
                <w:sz w:val="36"/>
                <w:szCs w:val="36"/>
              </w:rPr>
              <w:tab/>
            </w:r>
            <w:r w:rsidR="0080129D" w:rsidRPr="0080129D">
              <w:rPr>
                <w:noProof/>
                <w:webHidden/>
                <w:sz w:val="36"/>
                <w:szCs w:val="36"/>
              </w:rPr>
              <w:t>7</w:t>
            </w:r>
          </w:hyperlink>
        </w:p>
        <w:p w14:paraId="257FFF61" w14:textId="453FAE16" w:rsidR="00F310F5" w:rsidRPr="0080129D" w:rsidRDefault="009366EB" w:rsidP="0080129D">
          <w:pPr>
            <w:pStyle w:val="TOC1"/>
            <w:tabs>
              <w:tab w:val="right" w:leader="dot" w:pos="9350"/>
            </w:tabs>
            <w:spacing w:line="480" w:lineRule="auto"/>
            <w:rPr>
              <w:noProof/>
              <w:sz w:val="36"/>
              <w:szCs w:val="36"/>
            </w:rPr>
          </w:pPr>
          <w:hyperlink w:anchor="_Toc409783212" w:history="1">
            <w:r w:rsidR="00F310F5" w:rsidRPr="0080129D">
              <w:rPr>
                <w:rStyle w:val="Hyperlink"/>
                <w:noProof/>
                <w:sz w:val="36"/>
                <w:szCs w:val="36"/>
              </w:rPr>
              <w:t>Appendix B</w:t>
            </w:r>
            <w:r w:rsidR="00F310F5" w:rsidRPr="0080129D">
              <w:rPr>
                <w:noProof/>
                <w:webHidden/>
                <w:sz w:val="36"/>
                <w:szCs w:val="36"/>
              </w:rPr>
              <w:tab/>
            </w:r>
            <w:r w:rsidR="0080129D" w:rsidRPr="0080129D">
              <w:rPr>
                <w:noProof/>
                <w:webHidden/>
                <w:sz w:val="36"/>
                <w:szCs w:val="36"/>
              </w:rPr>
              <w:t>8</w:t>
            </w:r>
          </w:hyperlink>
        </w:p>
        <w:p w14:paraId="145DD425" w14:textId="0F06173E" w:rsidR="0080129D" w:rsidRPr="0080129D" w:rsidRDefault="009366EB" w:rsidP="0080129D">
          <w:pPr>
            <w:pStyle w:val="TOC1"/>
            <w:tabs>
              <w:tab w:val="right" w:leader="dot" w:pos="9350"/>
            </w:tabs>
            <w:spacing w:line="480" w:lineRule="auto"/>
            <w:rPr>
              <w:noProof/>
              <w:sz w:val="36"/>
              <w:szCs w:val="36"/>
            </w:rPr>
          </w:pPr>
          <w:hyperlink w:anchor="_Toc409783212" w:history="1">
            <w:r w:rsidR="0080129D" w:rsidRPr="0080129D">
              <w:rPr>
                <w:rStyle w:val="Hyperlink"/>
                <w:noProof/>
                <w:sz w:val="36"/>
                <w:szCs w:val="36"/>
              </w:rPr>
              <w:t>Appendix B</w:t>
            </w:r>
            <w:r w:rsidR="0080129D" w:rsidRPr="0080129D">
              <w:rPr>
                <w:noProof/>
                <w:webHidden/>
                <w:sz w:val="36"/>
                <w:szCs w:val="36"/>
              </w:rPr>
              <w:tab/>
              <w:t>9</w:t>
            </w:r>
          </w:hyperlink>
        </w:p>
        <w:p w14:paraId="5CB141CD" w14:textId="77777777" w:rsidR="0080129D" w:rsidRPr="0080129D" w:rsidRDefault="0080129D" w:rsidP="0080129D">
          <w:pPr>
            <w:spacing w:line="480" w:lineRule="auto"/>
            <w:rPr>
              <w:sz w:val="36"/>
              <w:szCs w:val="36"/>
            </w:rPr>
          </w:pPr>
        </w:p>
        <w:p w14:paraId="53D2F009" w14:textId="77777777" w:rsidR="00F310F5" w:rsidRPr="0080129D" w:rsidRDefault="00F310F5" w:rsidP="0080129D">
          <w:pPr>
            <w:spacing w:line="480" w:lineRule="auto"/>
            <w:rPr>
              <w:sz w:val="36"/>
              <w:szCs w:val="36"/>
            </w:rPr>
          </w:pPr>
        </w:p>
        <w:p w14:paraId="0ACDA7C1" w14:textId="77777777" w:rsidR="00164603" w:rsidRDefault="002709E5" w:rsidP="0080129D">
          <w:pPr>
            <w:spacing w:line="480" w:lineRule="auto"/>
          </w:pPr>
          <w:r w:rsidRPr="0080129D">
            <w:rPr>
              <w:b/>
              <w:bCs/>
              <w:noProof/>
              <w:sz w:val="36"/>
              <w:szCs w:val="36"/>
            </w:rPr>
            <w:fldChar w:fldCharType="end"/>
          </w:r>
        </w:p>
      </w:sdtContent>
    </w:sdt>
    <w:p w14:paraId="0EA950E3" w14:textId="77777777" w:rsidR="00330685" w:rsidRDefault="00D2465E" w:rsidP="00A43388">
      <w:pPr>
        <w:pStyle w:val="SectionTitle"/>
        <w:rPr>
          <w:b/>
        </w:rPr>
      </w:pPr>
      <w:r w:rsidRPr="00A43388">
        <w:rPr>
          <w:b/>
        </w:rPr>
        <w:lastRenderedPageBreak/>
        <w:t>Executive Summary</w:t>
      </w:r>
    </w:p>
    <w:p w14:paraId="705936F2" w14:textId="77777777" w:rsidR="000B2A99" w:rsidRPr="000B2A99" w:rsidRDefault="000B2A99" w:rsidP="000B2A99"/>
    <w:p w14:paraId="650C4E76" w14:textId="6D0970C6" w:rsidR="000B2A99" w:rsidRPr="008C2831" w:rsidRDefault="008C2831" w:rsidP="000B2A99">
      <w:pPr>
        <w:spacing w:line="480" w:lineRule="auto"/>
        <w:ind w:firstLine="720"/>
        <w:rPr>
          <w:color w:val="000000"/>
        </w:rPr>
      </w:pPr>
      <w:r w:rsidRPr="008C2831">
        <w:rPr>
          <w:color w:val="000000"/>
        </w:rPr>
        <w:t xml:space="preserve">CIS Bank operates as a large scale international bank with branches across North America, South America, and the Middle East. Following market trends, CIS Bank is interested in expanding their Mobile Banking department which currently only operates within 30 miles of CIS Bank headquarters. All of core systems </w:t>
      </w:r>
      <w:r>
        <w:rPr>
          <w:color w:val="000000"/>
        </w:rPr>
        <w:t>of CIS Bank are located in the M</w:t>
      </w:r>
      <w:r w:rsidRPr="008C2831">
        <w:rPr>
          <w:color w:val="000000"/>
        </w:rPr>
        <w:t xml:space="preserve">idwest United States. </w:t>
      </w:r>
      <w:r w:rsidR="000B2A99">
        <w:rPr>
          <w:color w:val="000000"/>
        </w:rPr>
        <w:t xml:space="preserve">Before expansion of the mobile application nationwide, CIS Bank has hired NKM consulting to conduct a risk assessment in order to gage how much risk they are currently working with and if the controls currently in place are adequate to mitigate this risk. </w:t>
      </w:r>
    </w:p>
    <w:p w14:paraId="06151F28" w14:textId="1E38491A" w:rsidR="008C2831" w:rsidRDefault="008C2831" w:rsidP="001D3470">
      <w:pPr>
        <w:spacing w:line="480" w:lineRule="auto"/>
        <w:rPr>
          <w:color w:val="000000"/>
        </w:rPr>
      </w:pPr>
      <w:r w:rsidRPr="008C2831">
        <w:rPr>
          <w:color w:val="000000"/>
        </w:rPr>
        <w:tab/>
        <w:t>The following risk assessment evaluated the risks facing all the systems within CIS Bank: Core Banking, Mobile Banking, Phone Banking, and Internet Banking as well as risks associated with internal CIS Bank systems</w:t>
      </w:r>
      <w:r w:rsidR="000B2A99">
        <w:rPr>
          <w:color w:val="000000"/>
        </w:rPr>
        <w:t xml:space="preserve"> including</w:t>
      </w:r>
      <w:r w:rsidRPr="008C2831">
        <w:rPr>
          <w:color w:val="000000"/>
        </w:rPr>
        <w:t>: Workstations, Desktops, and Laptops.</w:t>
      </w:r>
    </w:p>
    <w:p w14:paraId="374E7E39" w14:textId="77777777" w:rsidR="001D3470" w:rsidRPr="001D3470" w:rsidRDefault="001D3470" w:rsidP="001D3470">
      <w:pPr>
        <w:spacing w:line="480" w:lineRule="auto"/>
        <w:rPr>
          <w:color w:val="000000"/>
        </w:rPr>
      </w:pPr>
    </w:p>
    <w:p w14:paraId="51D70156" w14:textId="0120E621" w:rsidR="001D3470" w:rsidRPr="001D3470" w:rsidRDefault="001D3470" w:rsidP="001D3470">
      <w:pPr>
        <w:spacing w:line="480" w:lineRule="auto"/>
        <w:ind w:firstLine="720"/>
        <w:rPr>
          <w:color w:val="000000"/>
        </w:rPr>
      </w:pPr>
      <w:r w:rsidRPr="001D3470">
        <w:rPr>
          <w:color w:val="000000"/>
        </w:rPr>
        <w:t>This risk assessment considered knowledge from:</w:t>
      </w:r>
    </w:p>
    <w:p w14:paraId="405B3162" w14:textId="77777777" w:rsidR="001D3470" w:rsidRPr="001D3470" w:rsidRDefault="001D3470" w:rsidP="001D3470">
      <w:pPr>
        <w:numPr>
          <w:ilvl w:val="0"/>
          <w:numId w:val="20"/>
        </w:numPr>
        <w:spacing w:line="480" w:lineRule="auto"/>
        <w:ind w:left="1440"/>
        <w:textAlignment w:val="baseline"/>
        <w:rPr>
          <w:color w:val="000000"/>
        </w:rPr>
      </w:pPr>
      <w:r w:rsidRPr="001D3470">
        <w:rPr>
          <w:color w:val="000000"/>
        </w:rPr>
        <w:t xml:space="preserve">Risk profile of each asset </w:t>
      </w:r>
    </w:p>
    <w:p w14:paraId="05826116" w14:textId="77777777" w:rsidR="001D3470" w:rsidRPr="001D3470" w:rsidRDefault="001D3470" w:rsidP="001D3470">
      <w:pPr>
        <w:numPr>
          <w:ilvl w:val="0"/>
          <w:numId w:val="20"/>
        </w:numPr>
        <w:spacing w:line="480" w:lineRule="auto"/>
        <w:ind w:left="1440"/>
        <w:textAlignment w:val="baseline"/>
        <w:rPr>
          <w:color w:val="000000"/>
        </w:rPr>
      </w:pPr>
      <w:r w:rsidRPr="001D3470">
        <w:rPr>
          <w:color w:val="000000"/>
        </w:rPr>
        <w:t>Previous risk assessments</w:t>
      </w:r>
    </w:p>
    <w:p w14:paraId="75D32C5B" w14:textId="77777777" w:rsidR="001D3470" w:rsidRPr="001D3470" w:rsidRDefault="001D3470" w:rsidP="001D3470">
      <w:pPr>
        <w:numPr>
          <w:ilvl w:val="0"/>
          <w:numId w:val="20"/>
        </w:numPr>
        <w:spacing w:line="480" w:lineRule="auto"/>
        <w:ind w:left="1440"/>
        <w:textAlignment w:val="baseline"/>
        <w:rPr>
          <w:color w:val="000000"/>
        </w:rPr>
      </w:pPr>
      <w:r w:rsidRPr="001D3470">
        <w:rPr>
          <w:color w:val="000000"/>
        </w:rPr>
        <w:t>Likelihood of Threats to the asset</w:t>
      </w:r>
    </w:p>
    <w:p w14:paraId="41599512" w14:textId="77777777" w:rsidR="001D3470" w:rsidRPr="001D3470" w:rsidRDefault="001D3470" w:rsidP="001D3470">
      <w:pPr>
        <w:numPr>
          <w:ilvl w:val="0"/>
          <w:numId w:val="20"/>
        </w:numPr>
        <w:spacing w:line="480" w:lineRule="auto"/>
        <w:ind w:left="1440"/>
        <w:textAlignment w:val="baseline"/>
        <w:rPr>
          <w:color w:val="000000"/>
        </w:rPr>
      </w:pPr>
      <w:r w:rsidRPr="001D3470">
        <w:rPr>
          <w:color w:val="000000"/>
        </w:rPr>
        <w:t>History of potential costs threats may create</w:t>
      </w:r>
    </w:p>
    <w:p w14:paraId="24B8B0AD" w14:textId="77777777" w:rsidR="001D3470" w:rsidRPr="001D3470" w:rsidRDefault="001D3470" w:rsidP="001D3470">
      <w:pPr>
        <w:numPr>
          <w:ilvl w:val="0"/>
          <w:numId w:val="20"/>
        </w:numPr>
        <w:spacing w:line="480" w:lineRule="auto"/>
        <w:ind w:left="1440"/>
        <w:textAlignment w:val="baseline"/>
        <w:rPr>
          <w:color w:val="000000"/>
        </w:rPr>
      </w:pPr>
      <w:r w:rsidRPr="001D3470">
        <w:rPr>
          <w:color w:val="000000"/>
        </w:rPr>
        <w:t>History of financial costs for controls  </w:t>
      </w:r>
    </w:p>
    <w:p w14:paraId="28B39FF9" w14:textId="55B0CD84" w:rsidR="00A43388" w:rsidRDefault="00A43388" w:rsidP="001D3470">
      <w:pPr>
        <w:pStyle w:val="NoSpacing"/>
      </w:pPr>
    </w:p>
    <w:p w14:paraId="6FE87A01" w14:textId="0F279B18" w:rsidR="008C2831" w:rsidRDefault="00B13546" w:rsidP="008C2831">
      <w:pPr>
        <w:pStyle w:val="NormalWeb"/>
        <w:spacing w:line="480" w:lineRule="auto"/>
        <w:rPr>
          <w:b/>
          <w:bCs/>
          <w:color w:val="000000"/>
        </w:rPr>
      </w:pPr>
      <w:r>
        <w:tab/>
      </w:r>
      <w:r w:rsidR="008C2831" w:rsidRPr="008C2831">
        <w:rPr>
          <w:color w:val="000000"/>
        </w:rPr>
        <w:t xml:space="preserve">The risk assessment found that the most critical assets for CIS Bank are </w:t>
      </w:r>
      <w:r w:rsidR="008C2831" w:rsidRPr="008C2831">
        <w:rPr>
          <w:b/>
          <w:bCs/>
          <w:color w:val="000000"/>
        </w:rPr>
        <w:t xml:space="preserve">Internet Banking, </w:t>
      </w:r>
      <w:r w:rsidR="008C2831" w:rsidRPr="00635C20">
        <w:rPr>
          <w:bCs/>
          <w:color w:val="000000"/>
        </w:rPr>
        <w:t>and</w:t>
      </w:r>
      <w:r w:rsidR="008C2831" w:rsidRPr="008C2831">
        <w:rPr>
          <w:b/>
          <w:bCs/>
          <w:color w:val="000000"/>
        </w:rPr>
        <w:t xml:space="preserve"> Core Banking</w:t>
      </w:r>
      <w:r w:rsidR="008C2831" w:rsidRPr="008C2831">
        <w:rPr>
          <w:color w:val="000000"/>
        </w:rPr>
        <w:t xml:space="preserve">. </w:t>
      </w:r>
      <w:r w:rsidR="008C2831" w:rsidRPr="008C2831">
        <w:rPr>
          <w:b/>
          <w:bCs/>
          <w:color w:val="000000"/>
        </w:rPr>
        <w:t>Internet Banking</w:t>
      </w:r>
      <w:r w:rsidR="008C2831" w:rsidRPr="008C2831">
        <w:rPr>
          <w:color w:val="000000"/>
        </w:rPr>
        <w:t xml:space="preserve"> had the highest </w:t>
      </w:r>
      <w:r w:rsidR="008C2831" w:rsidRPr="008C2831">
        <w:rPr>
          <w:b/>
          <w:bCs/>
          <w:color w:val="000000"/>
        </w:rPr>
        <w:t xml:space="preserve">Threat Score </w:t>
      </w:r>
      <w:r w:rsidR="008C2831" w:rsidRPr="008C2831">
        <w:rPr>
          <w:color w:val="000000"/>
        </w:rPr>
        <w:t xml:space="preserve">and </w:t>
      </w:r>
      <w:r w:rsidR="008C2831" w:rsidRPr="008C2831">
        <w:rPr>
          <w:b/>
          <w:bCs/>
          <w:color w:val="000000"/>
        </w:rPr>
        <w:t xml:space="preserve">Inherent Risk Score. </w:t>
      </w:r>
      <w:r w:rsidR="008C2831" w:rsidRPr="008C2831">
        <w:rPr>
          <w:color w:val="000000"/>
        </w:rPr>
        <w:t xml:space="preserve">Overall, </w:t>
      </w:r>
      <w:r w:rsidR="008C2831" w:rsidRPr="008C2831">
        <w:rPr>
          <w:b/>
          <w:bCs/>
          <w:color w:val="000000"/>
        </w:rPr>
        <w:t>Desktops</w:t>
      </w:r>
      <w:r w:rsidR="008C2831" w:rsidRPr="008C2831">
        <w:rPr>
          <w:color w:val="000000"/>
        </w:rPr>
        <w:t xml:space="preserve"> have the </w:t>
      </w:r>
      <w:r w:rsidR="008C2831" w:rsidRPr="008C2831">
        <w:rPr>
          <w:b/>
          <w:bCs/>
          <w:color w:val="000000"/>
          <w:u w:val="single"/>
        </w:rPr>
        <w:t xml:space="preserve">least </w:t>
      </w:r>
      <w:r w:rsidR="008C2831" w:rsidRPr="008C2831">
        <w:rPr>
          <w:b/>
          <w:bCs/>
          <w:color w:val="000000"/>
        </w:rPr>
        <w:t xml:space="preserve">Residual Risk </w:t>
      </w:r>
      <w:r w:rsidR="008C2831" w:rsidRPr="008C2831">
        <w:rPr>
          <w:color w:val="000000"/>
        </w:rPr>
        <w:t xml:space="preserve">and even though </w:t>
      </w:r>
      <w:r w:rsidR="008C2831" w:rsidRPr="008C2831">
        <w:rPr>
          <w:b/>
          <w:bCs/>
          <w:color w:val="000000"/>
        </w:rPr>
        <w:t xml:space="preserve">Internet Banking </w:t>
      </w:r>
      <w:r w:rsidR="008C2831" w:rsidRPr="008C2831">
        <w:rPr>
          <w:color w:val="000000"/>
        </w:rPr>
        <w:t xml:space="preserve">has the </w:t>
      </w:r>
      <w:r w:rsidR="008C2831" w:rsidRPr="008C2831">
        <w:rPr>
          <w:b/>
          <w:bCs/>
          <w:color w:val="000000"/>
          <w:u w:val="single"/>
        </w:rPr>
        <w:t>highest</w:t>
      </w:r>
      <w:r w:rsidR="008C2831" w:rsidRPr="008C2831">
        <w:rPr>
          <w:color w:val="000000"/>
        </w:rPr>
        <w:t xml:space="preserve"> </w:t>
      </w:r>
      <w:r w:rsidR="008C2831" w:rsidRPr="008C2831">
        <w:rPr>
          <w:b/>
          <w:bCs/>
          <w:color w:val="000000"/>
        </w:rPr>
        <w:t>Control Score</w:t>
      </w:r>
      <w:r w:rsidR="008C2831" w:rsidRPr="008C2831">
        <w:rPr>
          <w:color w:val="000000"/>
        </w:rPr>
        <w:t>,</w:t>
      </w:r>
      <w:r w:rsidR="008C2831" w:rsidRPr="008C2831">
        <w:rPr>
          <w:b/>
          <w:bCs/>
          <w:color w:val="000000"/>
        </w:rPr>
        <w:t xml:space="preserve"> </w:t>
      </w:r>
      <w:r w:rsidR="008C2831" w:rsidRPr="008C2831">
        <w:rPr>
          <w:color w:val="000000"/>
        </w:rPr>
        <w:t xml:space="preserve">it still has the </w:t>
      </w:r>
      <w:r w:rsidR="008C2831" w:rsidRPr="008C2831">
        <w:rPr>
          <w:b/>
          <w:bCs/>
          <w:color w:val="000000"/>
          <w:u w:val="single"/>
        </w:rPr>
        <w:t>highest</w:t>
      </w:r>
      <w:r w:rsidR="008C2831" w:rsidRPr="008C2831">
        <w:rPr>
          <w:color w:val="000000"/>
        </w:rPr>
        <w:t xml:space="preserve"> </w:t>
      </w:r>
      <w:r w:rsidR="008C2831" w:rsidRPr="008C2831">
        <w:rPr>
          <w:b/>
          <w:bCs/>
          <w:color w:val="000000"/>
        </w:rPr>
        <w:t>Residual Risk.</w:t>
      </w:r>
      <w:r w:rsidR="00635C20">
        <w:rPr>
          <w:b/>
          <w:bCs/>
          <w:color w:val="000000"/>
        </w:rPr>
        <w:t xml:space="preserve"> </w:t>
      </w:r>
    </w:p>
    <w:p w14:paraId="49B340D9" w14:textId="77777777" w:rsidR="00635C20" w:rsidRPr="00635C20" w:rsidRDefault="00635C20" w:rsidP="008C2831">
      <w:pPr>
        <w:pStyle w:val="NormalWeb"/>
        <w:spacing w:line="480" w:lineRule="auto"/>
        <w:rPr>
          <w:color w:val="000000"/>
        </w:rPr>
      </w:pPr>
    </w:p>
    <w:p w14:paraId="449D6E60" w14:textId="32CF4F4F" w:rsidR="008C2831" w:rsidRPr="008C2831" w:rsidRDefault="008C2831" w:rsidP="008C2831">
      <w:pPr>
        <w:spacing w:line="480" w:lineRule="auto"/>
        <w:rPr>
          <w:rFonts w:eastAsia="Times New Roman"/>
        </w:rPr>
      </w:pPr>
      <w:r w:rsidRPr="008C2831">
        <w:rPr>
          <w:rFonts w:eastAsia="Times New Roman"/>
          <w:b/>
          <w:bCs/>
          <w:color w:val="000000"/>
        </w:rPr>
        <w:tab/>
      </w:r>
      <w:r w:rsidRPr="008C2831">
        <w:rPr>
          <w:rFonts w:eastAsia="Times New Roman"/>
          <w:color w:val="000000"/>
        </w:rPr>
        <w:t xml:space="preserve">The results of this risk assessment show that the current </w:t>
      </w:r>
      <w:r w:rsidR="00635C20">
        <w:rPr>
          <w:rFonts w:eastAsia="Times New Roman"/>
          <w:color w:val="000000"/>
        </w:rPr>
        <w:t>controls in place for</w:t>
      </w:r>
      <w:r w:rsidRPr="008C2831">
        <w:rPr>
          <w:rFonts w:eastAsia="Times New Roman"/>
          <w:color w:val="000000"/>
        </w:rPr>
        <w:t xml:space="preserve"> mitigating the risks </w:t>
      </w:r>
      <w:r w:rsidR="00635C20">
        <w:rPr>
          <w:rFonts w:eastAsia="Times New Roman"/>
          <w:color w:val="000000"/>
        </w:rPr>
        <w:t>at</w:t>
      </w:r>
      <w:r w:rsidRPr="008C2831">
        <w:rPr>
          <w:rFonts w:eastAsia="Times New Roman"/>
          <w:color w:val="000000"/>
        </w:rPr>
        <w:t xml:space="preserve"> CIS Bank </w:t>
      </w:r>
      <w:r w:rsidR="00635C20">
        <w:rPr>
          <w:rFonts w:eastAsia="Times New Roman"/>
          <w:color w:val="000000"/>
        </w:rPr>
        <w:t>are</w:t>
      </w:r>
      <w:r w:rsidRPr="008C2831">
        <w:rPr>
          <w:rFonts w:eastAsia="Times New Roman"/>
          <w:color w:val="000000"/>
        </w:rPr>
        <w:t xml:space="preserve"> inadequate. This can be seen in the </w:t>
      </w:r>
      <w:r w:rsidR="00635C20">
        <w:rPr>
          <w:rFonts w:eastAsia="Times New Roman"/>
          <w:color w:val="000000"/>
        </w:rPr>
        <w:t>residual</w:t>
      </w:r>
      <w:r w:rsidRPr="008C2831">
        <w:rPr>
          <w:rFonts w:eastAsia="Times New Roman"/>
          <w:color w:val="000000"/>
        </w:rPr>
        <w:t xml:space="preserve"> risk score for one of the most critical assets, </w:t>
      </w:r>
      <w:r w:rsidRPr="00635C20">
        <w:rPr>
          <w:rFonts w:eastAsia="Times New Roman"/>
          <w:b/>
          <w:color w:val="000000"/>
        </w:rPr>
        <w:t>Internet Banking</w:t>
      </w:r>
      <w:r w:rsidRPr="008C2831">
        <w:rPr>
          <w:rFonts w:eastAsia="Times New Roman"/>
          <w:color w:val="000000"/>
        </w:rPr>
        <w:t xml:space="preserve">, </w:t>
      </w:r>
      <w:r w:rsidR="00635C20">
        <w:rPr>
          <w:rFonts w:eastAsia="Times New Roman"/>
          <w:color w:val="000000"/>
        </w:rPr>
        <w:t>where the controls in place are only reducing the inherent risk by approximately 28%.</w:t>
      </w:r>
    </w:p>
    <w:p w14:paraId="1E380DF8" w14:textId="43BEB42F" w:rsidR="00164603" w:rsidRPr="008C2831" w:rsidRDefault="00312F75" w:rsidP="00635C20">
      <w:pPr>
        <w:pStyle w:val="NoSpacing"/>
        <w:ind w:firstLine="720"/>
        <w:rPr>
          <w:rFonts w:ascii="Times New Roman" w:hAnsi="Times New Roman" w:cs="Times New Roman"/>
        </w:rPr>
      </w:pPr>
      <w:r w:rsidRPr="008C2831">
        <w:rPr>
          <w:rFonts w:ascii="Times New Roman" w:hAnsi="Times New Roman" w:cs="Times New Roman"/>
        </w:rPr>
        <w:t xml:space="preserve">Moving forward, it can be concluded that managing </w:t>
      </w:r>
      <w:r w:rsidR="004210F5" w:rsidRPr="008C2831">
        <w:rPr>
          <w:rFonts w:ascii="Times New Roman" w:hAnsi="Times New Roman" w:cs="Times New Roman"/>
        </w:rPr>
        <w:t>the</w:t>
      </w:r>
      <w:r w:rsidRPr="008C2831">
        <w:rPr>
          <w:rFonts w:ascii="Times New Roman" w:hAnsi="Times New Roman" w:cs="Times New Roman"/>
        </w:rPr>
        <w:t xml:space="preserve"> </w:t>
      </w:r>
      <w:r w:rsidR="008C2831" w:rsidRPr="008C2831">
        <w:rPr>
          <w:rFonts w:ascii="Times New Roman" w:hAnsi="Times New Roman" w:cs="Times New Roman"/>
        </w:rPr>
        <w:t>Internet</w:t>
      </w:r>
      <w:r w:rsidRPr="008C2831">
        <w:rPr>
          <w:rFonts w:ascii="Times New Roman" w:hAnsi="Times New Roman" w:cs="Times New Roman"/>
        </w:rPr>
        <w:t xml:space="preserve"> Banking</w:t>
      </w:r>
      <w:r w:rsidR="0053091D" w:rsidRPr="008C2831">
        <w:rPr>
          <w:rFonts w:ascii="Times New Roman" w:hAnsi="Times New Roman" w:cs="Times New Roman"/>
        </w:rPr>
        <w:t xml:space="preserve"> system </w:t>
      </w:r>
      <w:r w:rsidR="008C2831" w:rsidRPr="008C2831">
        <w:rPr>
          <w:rFonts w:ascii="Times New Roman" w:hAnsi="Times New Roman" w:cs="Times New Roman"/>
        </w:rPr>
        <w:t>should</w:t>
      </w:r>
      <w:r w:rsidR="00330685" w:rsidRPr="008C2831">
        <w:rPr>
          <w:rFonts w:ascii="Times New Roman" w:hAnsi="Times New Roman" w:cs="Times New Roman"/>
        </w:rPr>
        <w:t xml:space="preserve"> be made a top priority of CIS Bank </w:t>
      </w:r>
      <w:r w:rsidR="0053091D" w:rsidRPr="008C2831">
        <w:rPr>
          <w:rFonts w:ascii="Times New Roman" w:hAnsi="Times New Roman" w:cs="Times New Roman"/>
        </w:rPr>
        <w:t>to ensure its high-risk rating is mitigated in such a way that it does not overwhelm the resources of the bank.</w:t>
      </w:r>
      <w:r w:rsidR="00635C20">
        <w:rPr>
          <w:rFonts w:ascii="Times New Roman" w:hAnsi="Times New Roman" w:cs="Times New Roman"/>
        </w:rPr>
        <w:t xml:space="preserve"> A possible solution could be to remove some of the controls from another asset in order to place more on high risk assets such as internet banking.</w:t>
      </w:r>
      <w:r w:rsidR="0053091D" w:rsidRPr="008C2831">
        <w:rPr>
          <w:rFonts w:ascii="Times New Roman" w:hAnsi="Times New Roman" w:cs="Times New Roman"/>
        </w:rPr>
        <w:t xml:space="preserve"> </w:t>
      </w:r>
      <w:r w:rsidR="00635C20">
        <w:rPr>
          <w:rFonts w:ascii="Times New Roman" w:hAnsi="Times New Roman" w:cs="Times New Roman"/>
        </w:rPr>
        <w:t>Furthermore</w:t>
      </w:r>
      <w:r w:rsidR="00330685" w:rsidRPr="008C2831">
        <w:rPr>
          <w:rFonts w:ascii="Times New Roman" w:hAnsi="Times New Roman" w:cs="Times New Roman"/>
        </w:rPr>
        <w:t>, seeing</w:t>
      </w:r>
      <w:r w:rsidR="00810D6E" w:rsidRPr="008C2831">
        <w:rPr>
          <w:rFonts w:ascii="Times New Roman" w:hAnsi="Times New Roman" w:cs="Times New Roman"/>
        </w:rPr>
        <w:t xml:space="preserve"> as the Mobile Banking system is still in the infancy stage and is only available</w:t>
      </w:r>
      <w:r w:rsidR="00635C20">
        <w:rPr>
          <w:rFonts w:ascii="Times New Roman" w:hAnsi="Times New Roman" w:cs="Times New Roman"/>
        </w:rPr>
        <w:t xml:space="preserve"> to customers residing</w:t>
      </w:r>
      <w:r w:rsidR="00810D6E" w:rsidRPr="008C2831">
        <w:rPr>
          <w:rFonts w:ascii="Times New Roman" w:hAnsi="Times New Roman" w:cs="Times New Roman"/>
        </w:rPr>
        <w:t xml:space="preserve"> within </w:t>
      </w:r>
      <w:r w:rsidR="00B13546" w:rsidRPr="008C2831">
        <w:rPr>
          <w:rFonts w:ascii="Times New Roman" w:hAnsi="Times New Roman" w:cs="Times New Roman"/>
        </w:rPr>
        <w:t xml:space="preserve">close </w:t>
      </w:r>
      <w:r w:rsidR="00810D6E" w:rsidRPr="008C2831">
        <w:rPr>
          <w:rFonts w:ascii="Times New Roman" w:hAnsi="Times New Roman" w:cs="Times New Roman"/>
        </w:rPr>
        <w:t>proximity</w:t>
      </w:r>
      <w:r w:rsidR="00232A5A">
        <w:rPr>
          <w:rFonts w:ascii="Times New Roman" w:hAnsi="Times New Roman" w:cs="Times New Roman"/>
        </w:rPr>
        <w:t xml:space="preserve"> (30 miles)</w:t>
      </w:r>
      <w:r w:rsidR="00330685" w:rsidRPr="008C2831">
        <w:rPr>
          <w:rFonts w:ascii="Times New Roman" w:hAnsi="Times New Roman" w:cs="Times New Roman"/>
        </w:rPr>
        <w:t xml:space="preserve"> to the bank’s</w:t>
      </w:r>
      <w:r w:rsidR="00810D6E" w:rsidRPr="008C2831">
        <w:rPr>
          <w:rFonts w:ascii="Times New Roman" w:hAnsi="Times New Roman" w:cs="Times New Roman"/>
        </w:rPr>
        <w:t xml:space="preserve"> headquarters it will be important to continue to roll out adequate security measures as its grows beyond regional borders. </w:t>
      </w:r>
    </w:p>
    <w:p w14:paraId="677CA255" w14:textId="77777777" w:rsidR="00B13546" w:rsidRDefault="00B13546" w:rsidP="00B13546">
      <w:pPr>
        <w:pStyle w:val="NoSpacing"/>
      </w:pPr>
    </w:p>
    <w:p w14:paraId="336C7C68" w14:textId="77777777" w:rsidR="00B13546" w:rsidRDefault="00B13546" w:rsidP="00B13546">
      <w:pPr>
        <w:pStyle w:val="Heading1"/>
      </w:pPr>
      <w:bookmarkStart w:id="1" w:name="_Toc409783207"/>
      <w:r>
        <w:t>M</w:t>
      </w:r>
      <w:bookmarkEnd w:id="1"/>
      <w:r>
        <w:t>ethod</w:t>
      </w:r>
    </w:p>
    <w:p w14:paraId="280164DC" w14:textId="77777777" w:rsidR="001D3048" w:rsidRPr="001D3048" w:rsidRDefault="001D3048" w:rsidP="001D3048"/>
    <w:p w14:paraId="07677BB4" w14:textId="5E89CEA4" w:rsidR="001D3048" w:rsidRDefault="001D3048" w:rsidP="001D3048">
      <w:pPr>
        <w:spacing w:line="480" w:lineRule="auto"/>
        <w:rPr>
          <w:rFonts w:eastAsia="Times New Roman"/>
          <w:color w:val="000000"/>
        </w:rPr>
      </w:pPr>
      <w:r w:rsidRPr="001D3048">
        <w:rPr>
          <w:rFonts w:eastAsia="Times New Roman"/>
          <w:color w:val="000000"/>
        </w:rPr>
        <w:t>To find the overall risk of CIS Bank after considering current controls, residual risk, a risk assessment with the following steps was conducted:</w:t>
      </w:r>
      <w:r w:rsidR="009318A5">
        <w:rPr>
          <w:rFonts w:eastAsia="Times New Roman"/>
          <w:color w:val="000000"/>
        </w:rPr>
        <w:t xml:space="preserve"> </w:t>
      </w:r>
    </w:p>
    <w:p w14:paraId="1BC7E430" w14:textId="77777777" w:rsidR="009318A5" w:rsidRDefault="009318A5" w:rsidP="001D3048">
      <w:pPr>
        <w:spacing w:line="480" w:lineRule="auto"/>
        <w:rPr>
          <w:rFonts w:eastAsia="Times New Roman"/>
          <w:color w:val="000000"/>
        </w:rPr>
      </w:pPr>
    </w:p>
    <w:p w14:paraId="67C9552C" w14:textId="68C0BC55" w:rsidR="009318A5" w:rsidRDefault="0035024A" w:rsidP="001D3048">
      <w:pPr>
        <w:spacing w:line="480" w:lineRule="auto"/>
        <w:rPr>
          <w:rFonts w:eastAsia="Times New Roman"/>
        </w:rPr>
      </w:pPr>
      <w:r>
        <w:rPr>
          <w:rFonts w:eastAsia="Times New Roman"/>
        </w:rPr>
        <w:t xml:space="preserve">1) </w:t>
      </w:r>
      <w:r w:rsidR="00DE0631">
        <w:rPr>
          <w:rFonts w:eastAsia="Times New Roman"/>
        </w:rPr>
        <w:t xml:space="preserve">Values for the quantitative model for CIS Banks risk assessment were created by senior </w:t>
      </w:r>
      <w:r w:rsidR="006A22C3">
        <w:rPr>
          <w:rFonts w:eastAsia="Times New Roman"/>
        </w:rPr>
        <w:t>management</w:t>
      </w:r>
      <w:r w:rsidR="00DE0631">
        <w:rPr>
          <w:rFonts w:eastAsia="Times New Roman"/>
        </w:rPr>
        <w:t>.</w:t>
      </w:r>
      <w:r w:rsidR="006A22C3">
        <w:rPr>
          <w:rFonts w:eastAsia="Times New Roman"/>
        </w:rPr>
        <w:t xml:space="preserve"> Instead of completing a business impact analysis, the team de</w:t>
      </w:r>
      <w:r w:rsidR="00232A5A">
        <w:rPr>
          <w:rFonts w:eastAsia="Times New Roman"/>
        </w:rPr>
        <w:t xml:space="preserve">cided to use a general baseline to save time. These generalized numbers provide approximate residual risk data for the banks information system assets. </w:t>
      </w:r>
    </w:p>
    <w:p w14:paraId="05819F5D" w14:textId="246301B1" w:rsidR="0035024A" w:rsidRDefault="0035024A" w:rsidP="001D3048">
      <w:pPr>
        <w:spacing w:line="480" w:lineRule="auto"/>
        <w:rPr>
          <w:rFonts w:eastAsia="Times New Roman"/>
        </w:rPr>
      </w:pPr>
      <w:r>
        <w:rPr>
          <w:rFonts w:eastAsia="Times New Roman"/>
        </w:rPr>
        <w:lastRenderedPageBreak/>
        <w:t>2)</w:t>
      </w:r>
      <w:r w:rsidR="00055422">
        <w:rPr>
          <w:rFonts w:eastAsia="Times New Roman"/>
        </w:rPr>
        <w:t xml:space="preserve"> CIS Banks risk profile was created </w:t>
      </w:r>
      <w:r w:rsidR="002B695F">
        <w:rPr>
          <w:rFonts w:eastAsia="Times New Roman"/>
        </w:rPr>
        <w:t>by providing a questionnaire to all key personnel in each of the assets. Questions consider Financial, Legal, Reputational, and Regulatory implications and how they impact the Confidentiality, Integrity, Availability, and Accountability (</w:t>
      </w:r>
      <w:r w:rsidR="00813110">
        <w:rPr>
          <w:rFonts w:eastAsia="Times New Roman"/>
        </w:rPr>
        <w:t xml:space="preserve">See </w:t>
      </w:r>
      <w:r w:rsidR="002B695F">
        <w:rPr>
          <w:rFonts w:eastAsia="Times New Roman"/>
        </w:rPr>
        <w:t xml:space="preserve">Appendix </w:t>
      </w:r>
      <w:r w:rsidR="00813110">
        <w:rPr>
          <w:rFonts w:eastAsia="Times New Roman"/>
        </w:rPr>
        <w:t>B</w:t>
      </w:r>
      <w:r w:rsidR="002B695F">
        <w:rPr>
          <w:rFonts w:eastAsia="Times New Roman"/>
        </w:rPr>
        <w:t xml:space="preserve">). Each of the questions </w:t>
      </w:r>
      <w:r w:rsidR="00813110">
        <w:rPr>
          <w:rFonts w:eastAsia="Times New Roman"/>
        </w:rPr>
        <w:t>were</w:t>
      </w:r>
      <w:r w:rsidR="002B695F">
        <w:rPr>
          <w:rFonts w:eastAsia="Times New Roman"/>
        </w:rPr>
        <w:t xml:space="preserve"> assigned a hidden quantitative </w:t>
      </w:r>
      <w:r w:rsidR="00813110">
        <w:rPr>
          <w:rFonts w:eastAsia="Times New Roman"/>
        </w:rPr>
        <w:t>value</w:t>
      </w:r>
      <w:r w:rsidR="002B695F">
        <w:rPr>
          <w:rFonts w:eastAsia="Times New Roman"/>
        </w:rPr>
        <w:t xml:space="preserve"> associated with their sensitivity. Results were compiled into a table and averaged to produce an Asset Criticality score. </w:t>
      </w:r>
      <w:r w:rsidR="00635C20">
        <w:rPr>
          <w:rFonts w:eastAsia="Times New Roman"/>
        </w:rPr>
        <w:t>With this score in mind,</w:t>
      </w:r>
      <w:r w:rsidR="002B695F">
        <w:rPr>
          <w:rFonts w:eastAsia="Times New Roman"/>
        </w:rPr>
        <w:t xml:space="preserve"> recommendation</w:t>
      </w:r>
      <w:r w:rsidR="00635C20">
        <w:rPr>
          <w:rFonts w:eastAsia="Times New Roman"/>
        </w:rPr>
        <w:t>s</w:t>
      </w:r>
      <w:r w:rsidR="002B695F">
        <w:rPr>
          <w:rFonts w:eastAsia="Times New Roman"/>
        </w:rPr>
        <w:t xml:space="preserve"> </w:t>
      </w:r>
      <w:r w:rsidR="00635C20">
        <w:rPr>
          <w:rFonts w:eastAsia="Times New Roman"/>
        </w:rPr>
        <w:t xml:space="preserve">as </w:t>
      </w:r>
      <w:r w:rsidR="002B695F">
        <w:rPr>
          <w:rFonts w:eastAsia="Times New Roman"/>
        </w:rPr>
        <w:t>to which of the envir</w:t>
      </w:r>
      <w:r w:rsidR="00635C20">
        <w:rPr>
          <w:rFonts w:eastAsia="Times New Roman"/>
        </w:rPr>
        <w:t>onments need to be prioritized can be made</w:t>
      </w:r>
    </w:p>
    <w:p w14:paraId="299DCD37" w14:textId="77777777" w:rsidR="000B2A99" w:rsidRDefault="000B2A99" w:rsidP="001D3048">
      <w:pPr>
        <w:spacing w:line="480" w:lineRule="auto"/>
        <w:rPr>
          <w:rFonts w:eastAsia="Times New Roman"/>
        </w:rPr>
      </w:pPr>
    </w:p>
    <w:p w14:paraId="0F07D689" w14:textId="1D7E46AD" w:rsidR="0035024A" w:rsidRDefault="0035024A" w:rsidP="001D3048">
      <w:pPr>
        <w:spacing w:line="480" w:lineRule="auto"/>
        <w:rPr>
          <w:rFonts w:eastAsia="Times New Roman"/>
        </w:rPr>
      </w:pPr>
      <w:r>
        <w:rPr>
          <w:rFonts w:eastAsia="Times New Roman"/>
        </w:rPr>
        <w:t>3)</w:t>
      </w:r>
      <w:r w:rsidR="00B8562E">
        <w:rPr>
          <w:rFonts w:eastAsia="Times New Roman"/>
        </w:rPr>
        <w:t xml:space="preserve"> Using data gained from a third party cyber intelligence company a threat universe for each asset is determined. Information is collected on current threats, information regarding current threat actors and examining previous threats is used to create a quantitative score. This quantitative score represents likelihood</w:t>
      </w:r>
      <w:r w:rsidR="00EB1C82">
        <w:rPr>
          <w:rFonts w:eastAsia="Times New Roman"/>
        </w:rPr>
        <w:t xml:space="preserve"> of the threat occurring as well as the </w:t>
      </w:r>
      <w:r w:rsidR="00B8562E">
        <w:rPr>
          <w:rFonts w:eastAsia="Times New Roman"/>
        </w:rPr>
        <w:t>impact, monetary damage</w:t>
      </w:r>
      <w:r w:rsidR="00EB1C82">
        <w:rPr>
          <w:rFonts w:eastAsia="Times New Roman"/>
        </w:rPr>
        <w:t>,</w:t>
      </w:r>
      <w:r w:rsidR="00B8562E">
        <w:rPr>
          <w:rFonts w:eastAsia="Times New Roman"/>
        </w:rPr>
        <w:t xml:space="preserve"> if the threat occurs to the asset. The overall Threat Score </w:t>
      </w:r>
      <w:r w:rsidR="00EB1C82">
        <w:rPr>
          <w:rFonts w:eastAsia="Times New Roman"/>
        </w:rPr>
        <w:t xml:space="preserve">is computed by multiplying the likelihood and impact scores. The overall raw risk for each of the assets (Inherent Risk) is then calculated by multiplying the Threat Score by the Asset Criticality. </w:t>
      </w:r>
    </w:p>
    <w:p w14:paraId="25D66EA7" w14:textId="77777777" w:rsidR="000B2A99" w:rsidRDefault="000B2A99" w:rsidP="001D3048">
      <w:pPr>
        <w:spacing w:line="480" w:lineRule="auto"/>
        <w:rPr>
          <w:rFonts w:eastAsia="Times New Roman"/>
        </w:rPr>
      </w:pPr>
    </w:p>
    <w:p w14:paraId="23100E95" w14:textId="4C44534A" w:rsidR="0035024A" w:rsidRDefault="0035024A" w:rsidP="001D3048">
      <w:pPr>
        <w:spacing w:line="480" w:lineRule="auto"/>
        <w:rPr>
          <w:rFonts w:eastAsia="Times New Roman"/>
        </w:rPr>
      </w:pPr>
      <w:r>
        <w:rPr>
          <w:rFonts w:eastAsia="Times New Roman"/>
        </w:rPr>
        <w:t>4)</w:t>
      </w:r>
      <w:r w:rsidR="00323B2A">
        <w:rPr>
          <w:rFonts w:eastAsia="Times New Roman"/>
        </w:rPr>
        <w:t xml:space="preserve"> The controls provided for each asset were evaluated by considering how much they mitigate the current threats the asset it facing. </w:t>
      </w:r>
      <w:r w:rsidR="00B8562E">
        <w:rPr>
          <w:rFonts w:eastAsia="Times New Roman"/>
        </w:rPr>
        <w:t>Controls are then evaluated based on how well they have mitigated specific risks in the past, the maximum likelihood of it mitigating future threats, and the maximum amount of money it could save the bank in the future. Due to the fact that a business impact analysis was not conducted we can only give a rough estimate of likelihood and monetary impact. Likelihood and monetary impact also depends on the severity of the risk which also depends on the situation.</w:t>
      </w:r>
    </w:p>
    <w:p w14:paraId="7E798DBC" w14:textId="630048E1" w:rsidR="0035024A" w:rsidRPr="001D3048" w:rsidRDefault="0035024A" w:rsidP="001D3048">
      <w:pPr>
        <w:spacing w:line="480" w:lineRule="auto"/>
        <w:rPr>
          <w:rFonts w:eastAsia="Times New Roman"/>
        </w:rPr>
      </w:pPr>
      <w:r>
        <w:rPr>
          <w:rFonts w:eastAsia="Times New Roman"/>
        </w:rPr>
        <w:lastRenderedPageBreak/>
        <w:t xml:space="preserve">5) In </w:t>
      </w:r>
      <w:r w:rsidR="00635C20">
        <w:rPr>
          <w:rFonts w:eastAsia="Times New Roman"/>
        </w:rPr>
        <w:t>conclusion, taking the Inherit Risk Score minus the Control S</w:t>
      </w:r>
      <w:r>
        <w:rPr>
          <w:rFonts w:eastAsia="Times New Roman"/>
        </w:rPr>
        <w:t>co</w:t>
      </w:r>
      <w:r w:rsidR="00635C20">
        <w:rPr>
          <w:rFonts w:eastAsia="Times New Roman"/>
        </w:rPr>
        <w:t>re gives the Residual Risk S</w:t>
      </w:r>
      <w:r>
        <w:rPr>
          <w:rFonts w:eastAsia="Times New Roman"/>
        </w:rPr>
        <w:t xml:space="preserve">core for each of the assets. From here, CIS Bank can see how much uncontrolled risk it </w:t>
      </w:r>
      <w:r w:rsidR="00635C20">
        <w:rPr>
          <w:rFonts w:eastAsia="Times New Roman"/>
        </w:rPr>
        <w:t xml:space="preserve">has left to </w:t>
      </w:r>
      <w:r>
        <w:rPr>
          <w:rFonts w:eastAsia="Times New Roman"/>
        </w:rPr>
        <w:t>manage</w:t>
      </w:r>
      <w:r w:rsidR="00635C20">
        <w:rPr>
          <w:rFonts w:eastAsia="Times New Roman"/>
        </w:rPr>
        <w:t xml:space="preserve"> and recommendations can be made regarding additional controls as well as how to disperse controls among the assets. </w:t>
      </w:r>
    </w:p>
    <w:p w14:paraId="46B2A11A" w14:textId="77777777" w:rsidR="00232A5A" w:rsidRPr="00526CDC" w:rsidRDefault="00232A5A" w:rsidP="000C4857"/>
    <w:p w14:paraId="6EE2C7E8" w14:textId="77777777" w:rsidR="00D2465E" w:rsidRDefault="00D2465E" w:rsidP="00D2465E">
      <w:pPr>
        <w:pStyle w:val="Heading1"/>
      </w:pPr>
      <w:r>
        <w:t>Conclusion</w:t>
      </w:r>
    </w:p>
    <w:p w14:paraId="717FB877" w14:textId="77777777" w:rsidR="00092C59" w:rsidRDefault="00092C59" w:rsidP="00D2465E"/>
    <w:p w14:paraId="462CB8B7" w14:textId="77777777" w:rsidR="00117894" w:rsidRDefault="00117894" w:rsidP="00D2465E"/>
    <w:p w14:paraId="41EF1215" w14:textId="1B57AF23" w:rsidR="000B2A99" w:rsidRDefault="001D3048" w:rsidP="00233F17">
      <w:pPr>
        <w:spacing w:line="480" w:lineRule="auto"/>
        <w:ind w:firstLine="720"/>
        <w:rPr>
          <w:rFonts w:eastAsia="Times New Roman"/>
          <w:color w:val="000000"/>
        </w:rPr>
      </w:pPr>
      <w:r w:rsidRPr="001D3048">
        <w:rPr>
          <w:rFonts w:eastAsia="Times New Roman"/>
          <w:color w:val="000000"/>
        </w:rPr>
        <w:t xml:space="preserve">While </w:t>
      </w:r>
      <w:r w:rsidR="00092C59">
        <w:rPr>
          <w:rFonts w:eastAsia="Times New Roman"/>
          <w:color w:val="000000"/>
        </w:rPr>
        <w:t xml:space="preserve">this risk assessment provides </w:t>
      </w:r>
      <w:r w:rsidRPr="001D3048">
        <w:rPr>
          <w:rFonts w:eastAsia="Times New Roman"/>
          <w:color w:val="000000"/>
        </w:rPr>
        <w:t>a good general overview of each of the assets</w:t>
      </w:r>
      <w:r w:rsidR="000B2A99">
        <w:rPr>
          <w:rFonts w:eastAsia="Times New Roman"/>
          <w:color w:val="000000"/>
        </w:rPr>
        <w:t>,</w:t>
      </w:r>
      <w:r w:rsidRPr="001D3048">
        <w:rPr>
          <w:rFonts w:eastAsia="Times New Roman"/>
          <w:color w:val="000000"/>
        </w:rPr>
        <w:t xml:space="preserve"> </w:t>
      </w:r>
      <w:r w:rsidR="00B932C1">
        <w:rPr>
          <w:rFonts w:eastAsia="Times New Roman"/>
          <w:color w:val="000000"/>
        </w:rPr>
        <w:t>it</w:t>
      </w:r>
      <w:r w:rsidR="00092C59">
        <w:rPr>
          <w:rFonts w:eastAsia="Times New Roman"/>
          <w:color w:val="000000"/>
        </w:rPr>
        <w:t xml:space="preserve"> lacks the ability to give a detailed </w:t>
      </w:r>
      <w:r w:rsidRPr="001D3048">
        <w:rPr>
          <w:rFonts w:eastAsia="Times New Roman"/>
          <w:color w:val="000000"/>
        </w:rPr>
        <w:t>analysis</w:t>
      </w:r>
      <w:r w:rsidR="000B2A99">
        <w:rPr>
          <w:rFonts w:eastAsia="Times New Roman"/>
          <w:color w:val="000000"/>
        </w:rPr>
        <w:t xml:space="preserve"> on what type of threats the asset might face in order to get a better idea of the type of controls needed to mitigate this risk</w:t>
      </w:r>
      <w:r w:rsidRPr="001D3048">
        <w:rPr>
          <w:rFonts w:eastAsia="Times New Roman"/>
          <w:color w:val="000000"/>
        </w:rPr>
        <w:t xml:space="preserve">. </w:t>
      </w:r>
      <w:r w:rsidR="00B932C1">
        <w:rPr>
          <w:rFonts w:eastAsia="Times New Roman"/>
          <w:color w:val="000000"/>
        </w:rPr>
        <w:t>More detail can be included by i</w:t>
      </w:r>
      <w:r w:rsidRPr="001D3048">
        <w:rPr>
          <w:rFonts w:eastAsia="Times New Roman"/>
          <w:color w:val="000000"/>
        </w:rPr>
        <w:t>n</w:t>
      </w:r>
      <w:r w:rsidR="000B2A99">
        <w:rPr>
          <w:rFonts w:eastAsia="Times New Roman"/>
          <w:color w:val="000000"/>
        </w:rPr>
        <w:t>corporating a quantitative model</w:t>
      </w:r>
      <w:r w:rsidR="00B932C1">
        <w:rPr>
          <w:rFonts w:eastAsia="Times New Roman"/>
          <w:color w:val="000000"/>
        </w:rPr>
        <w:t xml:space="preserve">, </w:t>
      </w:r>
      <w:r w:rsidRPr="001D3048">
        <w:rPr>
          <w:rFonts w:eastAsia="Times New Roman"/>
          <w:color w:val="000000"/>
        </w:rPr>
        <w:t xml:space="preserve">combining </w:t>
      </w:r>
      <w:r w:rsidR="00B932C1">
        <w:rPr>
          <w:rFonts w:eastAsia="Times New Roman"/>
          <w:color w:val="000000"/>
        </w:rPr>
        <w:t xml:space="preserve">both a quantitative model </w:t>
      </w:r>
      <w:r w:rsidRPr="001D3048">
        <w:rPr>
          <w:rFonts w:eastAsia="Times New Roman"/>
          <w:color w:val="000000"/>
        </w:rPr>
        <w:t xml:space="preserve">with a qualitative model </w:t>
      </w:r>
      <w:r w:rsidR="00B932C1">
        <w:rPr>
          <w:rFonts w:eastAsia="Times New Roman"/>
          <w:color w:val="000000"/>
        </w:rPr>
        <w:t>can</w:t>
      </w:r>
      <w:r w:rsidRPr="001D3048">
        <w:rPr>
          <w:rFonts w:eastAsia="Times New Roman"/>
          <w:color w:val="000000"/>
        </w:rPr>
        <w:t xml:space="preserve"> lead to better results.</w:t>
      </w:r>
      <w:r w:rsidR="00233F17">
        <w:rPr>
          <w:rFonts w:eastAsia="Times New Roman"/>
          <w:color w:val="000000"/>
        </w:rPr>
        <w:t xml:space="preserve"> </w:t>
      </w:r>
      <w:r w:rsidR="00B932C1">
        <w:rPr>
          <w:rFonts w:eastAsia="Times New Roman"/>
          <w:color w:val="000000"/>
        </w:rPr>
        <w:t>Moving forward, a</w:t>
      </w:r>
      <w:r w:rsidRPr="001D3048">
        <w:rPr>
          <w:rFonts w:eastAsia="Times New Roman"/>
          <w:color w:val="000000"/>
        </w:rPr>
        <w:t xml:space="preserve"> quantitative model </w:t>
      </w:r>
      <w:r w:rsidR="00B932C1">
        <w:rPr>
          <w:rFonts w:eastAsia="Times New Roman"/>
          <w:color w:val="000000"/>
        </w:rPr>
        <w:t>should</w:t>
      </w:r>
      <w:r w:rsidRPr="001D3048">
        <w:rPr>
          <w:rFonts w:eastAsia="Times New Roman"/>
          <w:color w:val="000000"/>
        </w:rPr>
        <w:t xml:space="preserve"> be based </w:t>
      </w:r>
      <w:r w:rsidR="00B932C1" w:rsidRPr="001D3048">
        <w:rPr>
          <w:rFonts w:eastAsia="Times New Roman"/>
          <w:color w:val="000000"/>
        </w:rPr>
        <w:t>off</w:t>
      </w:r>
      <w:r w:rsidRPr="001D3048">
        <w:rPr>
          <w:rFonts w:eastAsia="Times New Roman"/>
          <w:color w:val="000000"/>
        </w:rPr>
        <w:t xml:space="preserve"> a business impact analysis to help get specific numbers</w:t>
      </w:r>
      <w:r w:rsidR="00B932C1">
        <w:rPr>
          <w:rFonts w:eastAsia="Times New Roman"/>
          <w:color w:val="000000"/>
        </w:rPr>
        <w:t xml:space="preserve"> and accurately assess how much a threat will cost CIS Bank and in turn allow for the proper control to be put in place.</w:t>
      </w:r>
    </w:p>
    <w:p w14:paraId="7D7D2642" w14:textId="4BD0B650" w:rsidR="001D3048" w:rsidRPr="00A31359" w:rsidRDefault="00A31359" w:rsidP="00A31359">
      <w:pPr>
        <w:spacing w:line="480" w:lineRule="auto"/>
        <w:ind w:firstLine="720"/>
        <w:rPr>
          <w:rFonts w:eastAsia="Times New Roman"/>
          <w:color w:val="000000"/>
        </w:rPr>
      </w:pPr>
      <w:r>
        <w:t xml:space="preserve">It is also important to understand that each system of the bank works together, </w:t>
      </w:r>
      <w:r w:rsidR="0080129D">
        <w:t xml:space="preserve">this means that </w:t>
      </w:r>
      <w:r>
        <w:t xml:space="preserve">a security </w:t>
      </w:r>
      <w:r w:rsidR="0080129D">
        <w:t>flaw</w:t>
      </w:r>
      <w:r>
        <w:t xml:space="preserve"> in one</w:t>
      </w:r>
      <w:r w:rsidR="0080129D">
        <w:t xml:space="preserve"> asset</w:t>
      </w:r>
      <w:r>
        <w:t xml:space="preserve"> co</w:t>
      </w:r>
      <w:r w:rsidR="0080129D">
        <w:t>uld cause damage to the rest of the assets</w:t>
      </w:r>
      <w:r>
        <w:t>.</w:t>
      </w:r>
      <w:r w:rsidR="00092C59">
        <w:t xml:space="preserve"> </w:t>
      </w:r>
      <w:r w:rsidR="0080129D">
        <w:t xml:space="preserve">As mentioned above, </w:t>
      </w:r>
      <w:r w:rsidR="0080129D">
        <w:rPr>
          <w:rFonts w:eastAsia="Times New Roman"/>
          <w:color w:val="000000"/>
        </w:rPr>
        <w:t>t</w:t>
      </w:r>
      <w:r w:rsidR="001D3048" w:rsidRPr="001D3048">
        <w:rPr>
          <w:rFonts w:eastAsia="Times New Roman"/>
          <w:color w:val="000000"/>
        </w:rPr>
        <w:t xml:space="preserve">he threats should be more specific as the generalization of them makes it harder to attribute how much each control mitigates them. This would allow the analyst to better evaluate how each control relates to each other not only in its own asset but in other assets. Depending on the interoperability of the assets this can be an important consideration. </w:t>
      </w:r>
    </w:p>
    <w:p w14:paraId="3CB72703" w14:textId="77777777" w:rsidR="00117894" w:rsidRDefault="00117894" w:rsidP="00D2465E"/>
    <w:p w14:paraId="59607275" w14:textId="77777777" w:rsidR="00117894" w:rsidRDefault="00117894" w:rsidP="00D2465E"/>
    <w:p w14:paraId="6413E092" w14:textId="77777777" w:rsidR="00117894" w:rsidRDefault="00117894" w:rsidP="00D2465E"/>
    <w:p w14:paraId="6BFF136E" w14:textId="77777777" w:rsidR="00117894" w:rsidRDefault="00117894" w:rsidP="00D2465E"/>
    <w:p w14:paraId="20EF0623" w14:textId="77777777" w:rsidR="0080129D" w:rsidRDefault="0080129D" w:rsidP="00D2465E"/>
    <w:p w14:paraId="0CCB35D9" w14:textId="77777777" w:rsidR="0080129D" w:rsidRDefault="0080129D" w:rsidP="00D2465E"/>
    <w:p w14:paraId="6ADD8418" w14:textId="77777777" w:rsidR="0080129D" w:rsidRDefault="0080129D" w:rsidP="00D2465E"/>
    <w:p w14:paraId="33994A4A" w14:textId="77777777" w:rsidR="00117894" w:rsidRPr="00D2465E" w:rsidRDefault="00117894" w:rsidP="00D2465E"/>
    <w:p w14:paraId="1AC3BEF2" w14:textId="623652DA" w:rsidR="00D2465E" w:rsidRPr="00117894" w:rsidRDefault="00117894" w:rsidP="00117894">
      <w:pPr>
        <w:jc w:val="center"/>
        <w:rPr>
          <w:b/>
        </w:rPr>
      </w:pPr>
      <w:r w:rsidRPr="00117894">
        <w:rPr>
          <w:b/>
        </w:rPr>
        <w:lastRenderedPageBreak/>
        <w:t>Appendix</w:t>
      </w:r>
      <w:r w:rsidR="003363D4">
        <w:rPr>
          <w:b/>
        </w:rPr>
        <w:t xml:space="preserve"> A</w:t>
      </w:r>
    </w:p>
    <w:p w14:paraId="0F1E6FE7" w14:textId="77777777" w:rsidR="00D06088" w:rsidRDefault="00D06088" w:rsidP="0065746E">
      <w:pPr>
        <w:rPr>
          <w:rFonts w:eastAsia="Times New Roman"/>
        </w:rPr>
      </w:pPr>
    </w:p>
    <w:p w14:paraId="1DB7B448" w14:textId="77777777" w:rsidR="00D06088" w:rsidRDefault="00D06088" w:rsidP="0065746E">
      <w:pPr>
        <w:rPr>
          <w:rFonts w:eastAsia="Times New Roman"/>
        </w:rPr>
      </w:pPr>
    </w:p>
    <w:p w14:paraId="717CF1AE" w14:textId="77777777" w:rsidR="008C2831" w:rsidRDefault="008C2831" w:rsidP="00813110">
      <w:pPr>
        <w:rPr>
          <w:b/>
        </w:rPr>
      </w:pPr>
    </w:p>
    <w:tbl>
      <w:tblPr>
        <w:tblW w:w="9583" w:type="dxa"/>
        <w:tblCellMar>
          <w:top w:w="15" w:type="dxa"/>
          <w:left w:w="15" w:type="dxa"/>
          <w:bottom w:w="15" w:type="dxa"/>
          <w:right w:w="15" w:type="dxa"/>
        </w:tblCellMar>
        <w:tblLook w:val="04A0" w:firstRow="1" w:lastRow="0" w:firstColumn="1" w:lastColumn="0" w:noHBand="0" w:noVBand="1"/>
      </w:tblPr>
      <w:tblGrid>
        <w:gridCol w:w="3060"/>
        <w:gridCol w:w="2871"/>
        <w:gridCol w:w="3652"/>
      </w:tblGrid>
      <w:tr w:rsidR="008C2831" w:rsidRPr="008C2831" w14:paraId="30A08A81" w14:textId="77777777" w:rsidTr="008C2831">
        <w:trPr>
          <w:trHeight w:val="494"/>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BD7EAB" w14:textId="77777777" w:rsidR="008C2831" w:rsidRPr="008C2831" w:rsidRDefault="008C2831" w:rsidP="008C2831">
            <w:pPr>
              <w:jc w:val="center"/>
            </w:pPr>
            <w:r w:rsidRPr="008C2831">
              <w:rPr>
                <w:rFonts w:ascii="Calibri" w:hAnsi="Calibri"/>
                <w:b/>
                <w:bCs/>
                <w:color w:val="000000"/>
              </w:rPr>
              <w:br/>
              <w:t>Definitions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B158FD" w14:textId="77777777" w:rsidR="008C2831" w:rsidRPr="008C2831" w:rsidRDefault="008C2831" w:rsidP="008C2831">
            <w:pPr>
              <w:jc w:val="center"/>
            </w:pPr>
            <w:r w:rsidRPr="008C2831">
              <w:rPr>
                <w:rFonts w:ascii="Calibri" w:hAnsi="Calibri"/>
                <w:b/>
                <w:bCs/>
                <w:color w:val="000000"/>
              </w:rPr>
              <w:t>Quantitative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AFA6D9" w14:textId="77777777" w:rsidR="008C2831" w:rsidRPr="008C2831" w:rsidRDefault="008C2831" w:rsidP="008C2831">
            <w:pPr>
              <w:jc w:val="center"/>
            </w:pPr>
            <w:r w:rsidRPr="008C2831">
              <w:rPr>
                <w:rFonts w:ascii="Calibri" w:hAnsi="Calibri"/>
                <w:b/>
                <w:bCs/>
                <w:color w:val="000000"/>
              </w:rPr>
              <w:t>Financial Impact</w:t>
            </w:r>
          </w:p>
        </w:tc>
      </w:tr>
      <w:tr w:rsidR="008C2831" w:rsidRPr="008C2831" w14:paraId="35FADADC" w14:textId="77777777" w:rsidTr="008C2831">
        <w:trPr>
          <w:trHeight w:val="494"/>
        </w:trPr>
        <w:tc>
          <w:tcPr>
            <w:tcW w:w="0" w:type="auto"/>
            <w:tcBorders>
              <w:top w:val="single" w:sz="6" w:space="0" w:color="000000"/>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hideMark/>
          </w:tcPr>
          <w:p w14:paraId="19EE4F22" w14:textId="77777777" w:rsidR="008C2831" w:rsidRPr="008C2831" w:rsidRDefault="008C2831" w:rsidP="008C2831">
            <w:r w:rsidRPr="008C2831">
              <w:rPr>
                <w:rFonts w:ascii="Calibri" w:hAnsi="Calibri"/>
                <w:b/>
                <w:bCs/>
                <w:color w:val="000000"/>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hideMark/>
          </w:tcPr>
          <w:p w14:paraId="665E7DC7" w14:textId="77777777" w:rsidR="008C2831" w:rsidRPr="008C2831" w:rsidRDefault="008C2831" w:rsidP="008C2831">
            <w:pPr>
              <w:jc w:val="center"/>
            </w:pPr>
            <w:r w:rsidRPr="008C2831">
              <w:rPr>
                <w:rFonts w:ascii="Calibri" w:hAnsi="Calibri"/>
                <w:b/>
                <w:bCs/>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hideMark/>
          </w:tcPr>
          <w:p w14:paraId="520C1E7F" w14:textId="77777777" w:rsidR="008C2831" w:rsidRPr="008C2831" w:rsidRDefault="008C2831" w:rsidP="008C2831">
            <w:r w:rsidRPr="008C2831">
              <w:rPr>
                <w:rFonts w:ascii="Calibri" w:hAnsi="Calibri"/>
                <w:b/>
                <w:bCs/>
                <w:color w:val="000000"/>
              </w:rPr>
              <w:t>&lt; 750001</w:t>
            </w:r>
          </w:p>
        </w:tc>
      </w:tr>
      <w:tr w:rsidR="008C2831" w:rsidRPr="008C2831" w14:paraId="0B1E08A9" w14:textId="77777777" w:rsidTr="008C2831">
        <w:trPr>
          <w:trHeight w:val="494"/>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73AAF2E6" w14:textId="77777777" w:rsidR="008C2831" w:rsidRPr="008C2831" w:rsidRDefault="008C2831" w:rsidP="008C2831">
            <w:r w:rsidRPr="008C2831">
              <w:rPr>
                <w:rFonts w:ascii="Calibri" w:hAnsi="Calibri"/>
                <w:b/>
                <w:bCs/>
                <w:color w:val="000000"/>
              </w:rPr>
              <w:t>Medium High</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00355E9D" w14:textId="77777777" w:rsidR="008C2831" w:rsidRPr="008C2831" w:rsidRDefault="008C2831" w:rsidP="008C2831">
            <w:pPr>
              <w:jc w:val="center"/>
            </w:pPr>
            <w:r w:rsidRPr="008C2831">
              <w:rPr>
                <w:rFonts w:ascii="Calibri" w:hAnsi="Calibri"/>
                <w:b/>
                <w:bCs/>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bottom"/>
            <w:hideMark/>
          </w:tcPr>
          <w:p w14:paraId="1A7B66A8" w14:textId="77777777" w:rsidR="008C2831" w:rsidRPr="008C2831" w:rsidRDefault="008C2831" w:rsidP="008C2831">
            <w:r w:rsidRPr="008C2831">
              <w:rPr>
                <w:rFonts w:ascii="Calibri" w:hAnsi="Calibri"/>
                <w:b/>
                <w:bCs/>
                <w:color w:val="000000"/>
              </w:rPr>
              <w:t>50001-75000</w:t>
            </w:r>
          </w:p>
        </w:tc>
      </w:tr>
      <w:tr w:rsidR="008C2831" w:rsidRPr="008C2831" w14:paraId="61A90382" w14:textId="77777777" w:rsidTr="008C2831">
        <w:trPr>
          <w:trHeight w:val="494"/>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hideMark/>
          </w:tcPr>
          <w:p w14:paraId="1A3F0422" w14:textId="77777777" w:rsidR="008C2831" w:rsidRPr="008C2831" w:rsidRDefault="008C2831" w:rsidP="008C2831">
            <w:r w:rsidRPr="008C2831">
              <w:rPr>
                <w:rFonts w:ascii="Calibri" w:hAnsi="Calibri"/>
                <w:b/>
                <w:bCs/>
                <w:color w:val="000000"/>
              </w:rPr>
              <w:t>Medium</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hideMark/>
          </w:tcPr>
          <w:p w14:paraId="7E8E55FC" w14:textId="77777777" w:rsidR="008C2831" w:rsidRPr="008C2831" w:rsidRDefault="008C2831" w:rsidP="008C2831">
            <w:pPr>
              <w:jc w:val="center"/>
            </w:pPr>
            <w:r w:rsidRPr="008C2831">
              <w:rPr>
                <w:rFonts w:ascii="Calibri" w:hAnsi="Calibri"/>
                <w:b/>
                <w:bCs/>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hideMark/>
          </w:tcPr>
          <w:p w14:paraId="35859B71" w14:textId="77777777" w:rsidR="008C2831" w:rsidRPr="008C2831" w:rsidRDefault="008C2831" w:rsidP="008C2831">
            <w:r w:rsidRPr="008C2831">
              <w:rPr>
                <w:rFonts w:ascii="Calibri" w:hAnsi="Calibri"/>
                <w:b/>
                <w:bCs/>
                <w:color w:val="000000"/>
              </w:rPr>
              <w:t>25001-50000</w:t>
            </w:r>
          </w:p>
        </w:tc>
      </w:tr>
      <w:tr w:rsidR="008C2831" w:rsidRPr="008C2831" w14:paraId="2798B779" w14:textId="77777777" w:rsidTr="008C2831">
        <w:trPr>
          <w:trHeight w:val="603"/>
        </w:trPr>
        <w:tc>
          <w:tcPr>
            <w:tcW w:w="0" w:type="auto"/>
            <w:tcBorders>
              <w:top w:val="single" w:sz="6" w:space="0" w:color="000000"/>
              <w:left w:val="single" w:sz="6" w:space="0" w:color="000000"/>
              <w:bottom w:val="single" w:sz="6" w:space="0" w:color="000000"/>
              <w:right w:val="single" w:sz="6" w:space="0" w:color="000000"/>
            </w:tcBorders>
            <w:shd w:val="clear" w:color="auto" w:fill="4A86E8"/>
            <w:tcMar>
              <w:top w:w="40" w:type="dxa"/>
              <w:left w:w="40" w:type="dxa"/>
              <w:bottom w:w="40" w:type="dxa"/>
              <w:right w:w="40" w:type="dxa"/>
            </w:tcMar>
            <w:vAlign w:val="bottom"/>
            <w:hideMark/>
          </w:tcPr>
          <w:p w14:paraId="2BF87AAE" w14:textId="77777777" w:rsidR="008C2831" w:rsidRPr="008C2831" w:rsidRDefault="008C2831" w:rsidP="008C2831">
            <w:r w:rsidRPr="008C2831">
              <w:rPr>
                <w:rFonts w:ascii="Calibri" w:hAnsi="Calibri"/>
                <w:b/>
                <w:bCs/>
                <w:color w:val="000000"/>
              </w:rPr>
              <w:t>Medium Low</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0" w:type="dxa"/>
              <w:left w:w="40" w:type="dxa"/>
              <w:bottom w:w="40" w:type="dxa"/>
              <w:right w:w="40" w:type="dxa"/>
            </w:tcMar>
            <w:vAlign w:val="bottom"/>
            <w:hideMark/>
          </w:tcPr>
          <w:p w14:paraId="768720A0" w14:textId="77777777" w:rsidR="008C2831" w:rsidRPr="008C2831" w:rsidRDefault="008C2831" w:rsidP="008C2831">
            <w:pPr>
              <w:jc w:val="center"/>
            </w:pPr>
            <w:r w:rsidRPr="008C2831">
              <w:rPr>
                <w:rFonts w:ascii="Calibri" w:hAnsi="Calibri"/>
                <w:b/>
                <w:bCs/>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40" w:type="dxa"/>
              <w:left w:w="40" w:type="dxa"/>
              <w:bottom w:w="40" w:type="dxa"/>
              <w:right w:w="40" w:type="dxa"/>
            </w:tcMar>
            <w:vAlign w:val="bottom"/>
            <w:hideMark/>
          </w:tcPr>
          <w:p w14:paraId="38FB9BE7" w14:textId="77777777" w:rsidR="008C2831" w:rsidRPr="008C2831" w:rsidRDefault="008C2831" w:rsidP="008C2831">
            <w:r w:rsidRPr="008C2831">
              <w:rPr>
                <w:rFonts w:ascii="Calibri" w:hAnsi="Calibri"/>
                <w:b/>
                <w:bCs/>
                <w:color w:val="000000"/>
              </w:rPr>
              <w:t>5001-25000</w:t>
            </w:r>
          </w:p>
        </w:tc>
      </w:tr>
      <w:tr w:rsidR="008C2831" w:rsidRPr="008C2831" w14:paraId="0D1B01CF" w14:textId="77777777" w:rsidTr="008C2831">
        <w:trPr>
          <w:trHeight w:val="494"/>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hideMark/>
          </w:tcPr>
          <w:p w14:paraId="28C36C88" w14:textId="77777777" w:rsidR="008C2831" w:rsidRPr="008C2831" w:rsidRDefault="008C2831" w:rsidP="008C2831">
            <w:r w:rsidRPr="008C2831">
              <w:rPr>
                <w:rFonts w:ascii="Calibri" w:hAnsi="Calibri"/>
                <w:b/>
                <w:bCs/>
                <w:color w:val="000000"/>
              </w:rPr>
              <w:t>Low</w:t>
            </w:r>
          </w:p>
        </w:tc>
        <w:tc>
          <w:tcPr>
            <w:tcW w:w="0" w:type="auto"/>
            <w:tcBorders>
              <w:top w:val="single" w:sz="6" w:space="0" w:color="000000"/>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hideMark/>
          </w:tcPr>
          <w:p w14:paraId="6C27737F" w14:textId="77777777" w:rsidR="008C2831" w:rsidRPr="008C2831" w:rsidRDefault="008C2831" w:rsidP="008C2831">
            <w:pPr>
              <w:jc w:val="center"/>
            </w:pPr>
            <w:r w:rsidRPr="008C2831">
              <w:rPr>
                <w:rFonts w:ascii="Calibri" w:hAnsi="Calibri"/>
                <w:b/>
                <w:bCs/>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hideMark/>
          </w:tcPr>
          <w:p w14:paraId="4086C406" w14:textId="77777777" w:rsidR="008C2831" w:rsidRPr="008C2831" w:rsidRDefault="008C2831" w:rsidP="008C2831">
            <w:r w:rsidRPr="008C2831">
              <w:rPr>
                <w:rFonts w:ascii="Calibri" w:hAnsi="Calibri"/>
                <w:b/>
                <w:bCs/>
                <w:color w:val="000000"/>
              </w:rPr>
              <w:t>&gt;5000</w:t>
            </w:r>
          </w:p>
        </w:tc>
      </w:tr>
    </w:tbl>
    <w:p w14:paraId="60211DB1" w14:textId="77777777" w:rsidR="008C2831" w:rsidRPr="008C2831" w:rsidRDefault="008C2831" w:rsidP="008C2831">
      <w:pPr>
        <w:rPr>
          <w:rFonts w:eastAsia="Times New Roman"/>
        </w:rPr>
      </w:pPr>
    </w:p>
    <w:p w14:paraId="5A7DBD52" w14:textId="77777777" w:rsidR="008C2831" w:rsidRPr="00D06088" w:rsidRDefault="008C2831" w:rsidP="008C2831">
      <w:pPr>
        <w:rPr>
          <w:b/>
        </w:rPr>
      </w:pPr>
    </w:p>
    <w:p w14:paraId="0B7FC9E4" w14:textId="77777777" w:rsidR="008C2831" w:rsidRDefault="008C2831">
      <w:pPr>
        <w:pStyle w:val="TableFigure"/>
      </w:pPr>
    </w:p>
    <w:p w14:paraId="547EF47E" w14:textId="77777777" w:rsidR="00E55AB3" w:rsidRDefault="00E55AB3">
      <w:pPr>
        <w:pStyle w:val="TableFigure"/>
      </w:pPr>
    </w:p>
    <w:p w14:paraId="25767605" w14:textId="77777777" w:rsidR="00E55AB3" w:rsidRDefault="00E55AB3">
      <w:pPr>
        <w:pStyle w:val="TableFigure"/>
      </w:pPr>
    </w:p>
    <w:p w14:paraId="4C9A550A" w14:textId="77777777" w:rsidR="00E55AB3" w:rsidRDefault="00E55AB3">
      <w:pPr>
        <w:pStyle w:val="TableFigure"/>
      </w:pPr>
    </w:p>
    <w:p w14:paraId="57BD3573" w14:textId="77777777" w:rsidR="00E55AB3" w:rsidRDefault="00E55AB3">
      <w:pPr>
        <w:pStyle w:val="TableFigure"/>
      </w:pPr>
    </w:p>
    <w:p w14:paraId="10B86E4C" w14:textId="77777777" w:rsidR="00E55AB3" w:rsidRDefault="00E55AB3">
      <w:pPr>
        <w:pStyle w:val="TableFigure"/>
      </w:pPr>
    </w:p>
    <w:p w14:paraId="0E6C1435" w14:textId="77777777" w:rsidR="00E55AB3" w:rsidRDefault="00E55AB3">
      <w:pPr>
        <w:pStyle w:val="TableFigure"/>
      </w:pPr>
    </w:p>
    <w:p w14:paraId="634FEA60" w14:textId="77777777" w:rsidR="00E55AB3" w:rsidRDefault="00E55AB3">
      <w:pPr>
        <w:pStyle w:val="TableFigure"/>
      </w:pPr>
    </w:p>
    <w:p w14:paraId="0BDF5CC4" w14:textId="77777777" w:rsidR="00E55AB3" w:rsidRDefault="00E55AB3">
      <w:pPr>
        <w:pStyle w:val="TableFigure"/>
      </w:pPr>
    </w:p>
    <w:p w14:paraId="12F6704C" w14:textId="77777777" w:rsidR="00E55AB3" w:rsidRDefault="00E55AB3">
      <w:pPr>
        <w:pStyle w:val="TableFigure"/>
      </w:pPr>
    </w:p>
    <w:p w14:paraId="133EC3B7" w14:textId="77777777" w:rsidR="00E55AB3" w:rsidRDefault="00E55AB3">
      <w:pPr>
        <w:pStyle w:val="TableFigure"/>
      </w:pPr>
    </w:p>
    <w:p w14:paraId="69E70E7B" w14:textId="77777777" w:rsidR="00E55AB3" w:rsidRDefault="00E55AB3">
      <w:pPr>
        <w:pStyle w:val="TableFigure"/>
      </w:pPr>
    </w:p>
    <w:p w14:paraId="60237E11" w14:textId="77777777" w:rsidR="00E55AB3" w:rsidRDefault="00E55AB3">
      <w:pPr>
        <w:pStyle w:val="TableFigure"/>
      </w:pPr>
    </w:p>
    <w:p w14:paraId="4F5F8DE0" w14:textId="77777777" w:rsidR="0080129D" w:rsidRDefault="0080129D">
      <w:pPr>
        <w:pStyle w:val="TableFigure"/>
      </w:pPr>
    </w:p>
    <w:p w14:paraId="1FD2AD35" w14:textId="77777777" w:rsidR="0080129D" w:rsidRDefault="0080129D">
      <w:pPr>
        <w:pStyle w:val="TableFigure"/>
      </w:pPr>
    </w:p>
    <w:p w14:paraId="704B9421" w14:textId="77777777" w:rsidR="0080129D" w:rsidRDefault="0080129D">
      <w:pPr>
        <w:pStyle w:val="TableFigure"/>
      </w:pPr>
    </w:p>
    <w:p w14:paraId="1E7EB9F0" w14:textId="77777777" w:rsidR="0080129D" w:rsidRDefault="0080129D">
      <w:pPr>
        <w:pStyle w:val="TableFigure"/>
      </w:pPr>
    </w:p>
    <w:p w14:paraId="7EB00114" w14:textId="77777777" w:rsidR="0080129D" w:rsidRDefault="0080129D">
      <w:pPr>
        <w:pStyle w:val="TableFigure"/>
      </w:pPr>
    </w:p>
    <w:p w14:paraId="412654C0" w14:textId="77777777" w:rsidR="0080129D" w:rsidRDefault="0080129D">
      <w:pPr>
        <w:pStyle w:val="TableFigure"/>
      </w:pPr>
    </w:p>
    <w:p w14:paraId="768E2695" w14:textId="77777777" w:rsidR="0080129D" w:rsidRDefault="0080129D">
      <w:pPr>
        <w:pStyle w:val="TableFigure"/>
      </w:pPr>
    </w:p>
    <w:p w14:paraId="466B245B" w14:textId="77777777" w:rsidR="0080129D" w:rsidRDefault="0080129D">
      <w:pPr>
        <w:pStyle w:val="TableFigure"/>
      </w:pPr>
    </w:p>
    <w:p w14:paraId="175E8536" w14:textId="77777777" w:rsidR="0080129D" w:rsidRDefault="0080129D">
      <w:pPr>
        <w:pStyle w:val="TableFigure"/>
      </w:pPr>
    </w:p>
    <w:p w14:paraId="20292D67" w14:textId="77777777" w:rsidR="0080129D" w:rsidRDefault="0080129D">
      <w:pPr>
        <w:pStyle w:val="TableFigure"/>
      </w:pPr>
    </w:p>
    <w:p w14:paraId="66BF9884" w14:textId="77777777" w:rsidR="0080129D" w:rsidRDefault="0080129D">
      <w:pPr>
        <w:pStyle w:val="TableFigure"/>
      </w:pPr>
    </w:p>
    <w:p w14:paraId="4CA835E8" w14:textId="77777777" w:rsidR="00E55AB3" w:rsidRDefault="00E55AB3">
      <w:pPr>
        <w:pStyle w:val="TableFigure"/>
      </w:pPr>
    </w:p>
    <w:p w14:paraId="6D535727" w14:textId="77777777" w:rsidR="00E55AB3" w:rsidRDefault="00E55AB3">
      <w:pPr>
        <w:pStyle w:val="TableFigure"/>
      </w:pPr>
    </w:p>
    <w:p w14:paraId="603B7870" w14:textId="77777777" w:rsidR="00E55AB3" w:rsidRDefault="00E55AB3">
      <w:pPr>
        <w:pStyle w:val="TableFigure"/>
      </w:pPr>
    </w:p>
    <w:p w14:paraId="597F1B9C" w14:textId="1CA52DAE" w:rsidR="00E55AB3" w:rsidRDefault="00E55AB3" w:rsidP="00E55AB3">
      <w:pPr>
        <w:jc w:val="center"/>
        <w:rPr>
          <w:b/>
        </w:rPr>
      </w:pPr>
      <w:r w:rsidRPr="00117894">
        <w:rPr>
          <w:b/>
        </w:rPr>
        <w:t>Appendix</w:t>
      </w:r>
      <w:r w:rsidR="00813110">
        <w:rPr>
          <w:b/>
        </w:rPr>
        <w:t xml:space="preserve"> B</w:t>
      </w:r>
    </w:p>
    <w:p w14:paraId="08B180C1" w14:textId="77777777" w:rsidR="00813110" w:rsidRPr="00D06088" w:rsidRDefault="00813110" w:rsidP="00E55AB3">
      <w:pPr>
        <w:jc w:val="center"/>
        <w:rPr>
          <w:b/>
        </w:rPr>
      </w:pPr>
    </w:p>
    <w:tbl>
      <w:tblPr>
        <w:tblW w:w="0" w:type="auto"/>
        <w:tblCellMar>
          <w:top w:w="15" w:type="dxa"/>
          <w:left w:w="15" w:type="dxa"/>
          <w:bottom w:w="15" w:type="dxa"/>
          <w:right w:w="15" w:type="dxa"/>
        </w:tblCellMar>
        <w:tblLook w:val="04A0" w:firstRow="1" w:lastRow="0" w:firstColumn="1" w:lastColumn="0" w:noHBand="0" w:noVBand="1"/>
      </w:tblPr>
      <w:tblGrid>
        <w:gridCol w:w="1728"/>
        <w:gridCol w:w="7612"/>
      </w:tblGrid>
      <w:tr w:rsidR="00E55AB3" w:rsidRPr="0065746E" w14:paraId="1AFC5D1B" w14:textId="77777777" w:rsidTr="00706B02">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193E" w14:textId="77777777" w:rsidR="00E55AB3" w:rsidRPr="0065746E" w:rsidRDefault="00E55AB3" w:rsidP="00706B02">
            <w:pPr>
              <w:jc w:val="center"/>
            </w:pPr>
            <w:r w:rsidRPr="0065746E">
              <w:rPr>
                <w:rFonts w:ascii="Arial" w:hAnsi="Arial" w:cs="Arial"/>
                <w:b/>
                <w:bCs/>
                <w:color w:val="000000"/>
                <w:sz w:val="22"/>
                <w:szCs w:val="22"/>
              </w:rPr>
              <w:t xml:space="preserve">Confidentiality, Integrity, Availability, Accountability Table </w:t>
            </w:r>
          </w:p>
        </w:tc>
      </w:tr>
      <w:tr w:rsidR="00E55AB3" w:rsidRPr="0065746E" w14:paraId="32C37323" w14:textId="77777777" w:rsidTr="00706B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C98C4" w14:textId="77777777" w:rsidR="00E55AB3" w:rsidRPr="0065746E" w:rsidRDefault="00E55AB3" w:rsidP="00706B02">
            <w:r w:rsidRPr="0065746E">
              <w:rPr>
                <w:rFonts w:ascii="Arial" w:hAnsi="Arial" w:cs="Arial"/>
                <w:b/>
                <w:bCs/>
                <w:color w:val="000000"/>
                <w:sz w:val="22"/>
                <w:szCs w:val="22"/>
              </w:rPr>
              <w:t>Confidentiality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D8DBD" w14:textId="77777777" w:rsidR="00E55AB3" w:rsidRPr="0065746E" w:rsidRDefault="00E55AB3" w:rsidP="00706B02">
            <w:r w:rsidRPr="0065746E">
              <w:rPr>
                <w:rFonts w:ascii="Arial" w:hAnsi="Arial" w:cs="Arial"/>
                <w:color w:val="000000"/>
                <w:sz w:val="22"/>
                <w:szCs w:val="22"/>
              </w:rPr>
              <w:t xml:space="preserve">The consequence of unauthorized disclosure or compromise of data stored, processed, or transmitted by the resource. </w:t>
            </w:r>
          </w:p>
        </w:tc>
      </w:tr>
      <w:tr w:rsidR="00E55AB3" w:rsidRPr="0065746E" w14:paraId="7C0B3C00" w14:textId="77777777" w:rsidTr="00706B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D9A3" w14:textId="77777777" w:rsidR="00E55AB3" w:rsidRPr="0065746E" w:rsidRDefault="00E55AB3" w:rsidP="00706B02">
            <w:r w:rsidRPr="0065746E">
              <w:rPr>
                <w:rFonts w:ascii="Arial" w:hAnsi="Arial" w:cs="Arial"/>
                <w:b/>
                <w:bCs/>
                <w:color w:val="000000"/>
                <w:sz w:val="22"/>
                <w:szCs w:val="22"/>
              </w:rPr>
              <w:t>Integrity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E067A" w14:textId="77777777" w:rsidR="00E55AB3" w:rsidRPr="0065746E" w:rsidRDefault="00E55AB3" w:rsidP="00706B02">
            <w:r w:rsidRPr="0065746E">
              <w:rPr>
                <w:rFonts w:ascii="Arial" w:hAnsi="Arial" w:cs="Arial"/>
                <w:color w:val="000000"/>
                <w:sz w:val="22"/>
                <w:szCs w:val="22"/>
              </w:rPr>
              <w:t>The consequences of corruption or unauthorized modification/destruction of data stored, processed, or transmitted by the resource.</w:t>
            </w:r>
          </w:p>
        </w:tc>
      </w:tr>
      <w:tr w:rsidR="00E55AB3" w:rsidRPr="0065746E" w14:paraId="1FA36DBB" w14:textId="77777777" w:rsidTr="00706B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9C95B" w14:textId="77777777" w:rsidR="00E55AB3" w:rsidRPr="0065746E" w:rsidRDefault="00E55AB3" w:rsidP="00706B02">
            <w:r w:rsidRPr="0065746E">
              <w:rPr>
                <w:rFonts w:ascii="Arial" w:hAnsi="Arial" w:cs="Arial"/>
                <w:b/>
                <w:bCs/>
                <w:color w:val="000000"/>
                <w:sz w:val="22"/>
                <w:szCs w:val="22"/>
              </w:rPr>
              <w:t>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7D8D" w14:textId="77777777" w:rsidR="00E55AB3" w:rsidRPr="0065746E" w:rsidRDefault="00E55AB3" w:rsidP="00706B02">
            <w:r w:rsidRPr="0065746E">
              <w:rPr>
                <w:rFonts w:ascii="Arial" w:hAnsi="Arial" w:cs="Arial"/>
                <w:color w:val="000000"/>
                <w:sz w:val="22"/>
                <w:szCs w:val="22"/>
              </w:rPr>
              <w:t>The consequences of loss or disruption of access to data the resource stores, processes, or transmits.</w:t>
            </w:r>
          </w:p>
        </w:tc>
      </w:tr>
      <w:tr w:rsidR="00E55AB3" w:rsidRPr="0065746E" w14:paraId="7D2F1A11" w14:textId="77777777" w:rsidTr="00706B0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5ACD" w14:textId="77777777" w:rsidR="00E55AB3" w:rsidRPr="0065746E" w:rsidRDefault="00E55AB3" w:rsidP="00706B02">
            <w:r w:rsidRPr="0065746E">
              <w:rPr>
                <w:rFonts w:ascii="Arial" w:hAnsi="Arial" w:cs="Arial"/>
                <w:b/>
                <w:bCs/>
                <w:color w:val="000000"/>
                <w:sz w:val="22"/>
                <w:szCs w:val="22"/>
              </w:rPr>
              <w:t>Accountability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4955" w14:textId="77777777" w:rsidR="00E55AB3" w:rsidRPr="0065746E" w:rsidRDefault="00E55AB3" w:rsidP="00706B02">
            <w:r w:rsidRPr="0065746E">
              <w:rPr>
                <w:rFonts w:ascii="Arial" w:hAnsi="Arial" w:cs="Arial"/>
                <w:color w:val="000000"/>
                <w:sz w:val="22"/>
                <w:szCs w:val="22"/>
              </w:rPr>
              <w:t>The consequences of the inability to hold users accountable for their actions in the resource.</w:t>
            </w:r>
          </w:p>
        </w:tc>
      </w:tr>
    </w:tbl>
    <w:p w14:paraId="64883C53" w14:textId="77777777" w:rsidR="00E55AB3" w:rsidRDefault="00E55AB3">
      <w:pPr>
        <w:pStyle w:val="TableFigure"/>
      </w:pPr>
    </w:p>
    <w:p w14:paraId="6EF50A91" w14:textId="77777777" w:rsidR="00232A5A" w:rsidRDefault="00232A5A">
      <w:pPr>
        <w:pStyle w:val="TableFigure"/>
      </w:pPr>
    </w:p>
    <w:p w14:paraId="49A35C21" w14:textId="77777777" w:rsidR="00232A5A" w:rsidRDefault="00232A5A">
      <w:pPr>
        <w:pStyle w:val="TableFigure"/>
      </w:pPr>
    </w:p>
    <w:p w14:paraId="1B1236C8" w14:textId="77777777" w:rsidR="00232A5A" w:rsidRDefault="00232A5A">
      <w:pPr>
        <w:pStyle w:val="TableFigure"/>
      </w:pPr>
    </w:p>
    <w:p w14:paraId="24CC5380" w14:textId="77777777" w:rsidR="00232A5A" w:rsidRDefault="00232A5A">
      <w:pPr>
        <w:pStyle w:val="TableFigure"/>
      </w:pPr>
    </w:p>
    <w:p w14:paraId="4DAC1BDB" w14:textId="77777777" w:rsidR="00232A5A" w:rsidRDefault="00232A5A">
      <w:pPr>
        <w:pStyle w:val="TableFigure"/>
      </w:pPr>
    </w:p>
    <w:p w14:paraId="5EB58FE7" w14:textId="77777777" w:rsidR="00232A5A" w:rsidRDefault="00232A5A">
      <w:pPr>
        <w:pStyle w:val="TableFigure"/>
      </w:pPr>
    </w:p>
    <w:p w14:paraId="765E679B" w14:textId="77777777" w:rsidR="00232A5A" w:rsidRDefault="00232A5A">
      <w:pPr>
        <w:pStyle w:val="TableFigure"/>
      </w:pPr>
    </w:p>
    <w:p w14:paraId="1EB9AB95" w14:textId="77777777" w:rsidR="00232A5A" w:rsidRDefault="00232A5A">
      <w:pPr>
        <w:pStyle w:val="TableFigure"/>
      </w:pPr>
    </w:p>
    <w:p w14:paraId="53F839C9" w14:textId="77777777" w:rsidR="00232A5A" w:rsidRDefault="00232A5A">
      <w:pPr>
        <w:pStyle w:val="TableFigure"/>
      </w:pPr>
    </w:p>
    <w:p w14:paraId="74CDB8DF" w14:textId="77777777" w:rsidR="00232A5A" w:rsidRDefault="00232A5A">
      <w:pPr>
        <w:pStyle w:val="TableFigure"/>
      </w:pPr>
    </w:p>
    <w:p w14:paraId="133A2F96" w14:textId="77777777" w:rsidR="00232A5A" w:rsidRDefault="00232A5A">
      <w:pPr>
        <w:pStyle w:val="TableFigure"/>
      </w:pPr>
    </w:p>
    <w:p w14:paraId="3A40489C" w14:textId="77777777" w:rsidR="00232A5A" w:rsidRDefault="00232A5A">
      <w:pPr>
        <w:pStyle w:val="TableFigure"/>
      </w:pPr>
    </w:p>
    <w:p w14:paraId="4F2E6E93" w14:textId="77777777" w:rsidR="00232A5A" w:rsidRDefault="00232A5A">
      <w:pPr>
        <w:pStyle w:val="TableFigure"/>
      </w:pPr>
    </w:p>
    <w:p w14:paraId="4354D871" w14:textId="77777777" w:rsidR="00232A5A" w:rsidRDefault="00232A5A">
      <w:pPr>
        <w:pStyle w:val="TableFigure"/>
      </w:pPr>
    </w:p>
    <w:p w14:paraId="29003521" w14:textId="77777777" w:rsidR="00232A5A" w:rsidRDefault="00232A5A">
      <w:pPr>
        <w:pStyle w:val="TableFigure"/>
      </w:pPr>
    </w:p>
    <w:p w14:paraId="0802F0CF" w14:textId="77777777" w:rsidR="00232A5A" w:rsidRDefault="00232A5A">
      <w:pPr>
        <w:pStyle w:val="TableFigure"/>
      </w:pPr>
    </w:p>
    <w:p w14:paraId="73DCE30D" w14:textId="77777777" w:rsidR="00232A5A" w:rsidRDefault="00232A5A">
      <w:pPr>
        <w:pStyle w:val="TableFigure"/>
      </w:pPr>
    </w:p>
    <w:p w14:paraId="7BFF7037" w14:textId="77777777" w:rsidR="00232A5A" w:rsidRDefault="00232A5A">
      <w:pPr>
        <w:pStyle w:val="TableFigure"/>
      </w:pPr>
    </w:p>
    <w:p w14:paraId="1180EFFC" w14:textId="77777777" w:rsidR="00232A5A" w:rsidRDefault="00232A5A">
      <w:pPr>
        <w:pStyle w:val="TableFigure"/>
      </w:pPr>
    </w:p>
    <w:p w14:paraId="1A834FB8" w14:textId="77777777" w:rsidR="00232A5A" w:rsidRDefault="00232A5A">
      <w:pPr>
        <w:pStyle w:val="TableFigure"/>
      </w:pPr>
    </w:p>
    <w:p w14:paraId="3A961006" w14:textId="77777777" w:rsidR="00232A5A" w:rsidRDefault="00232A5A">
      <w:pPr>
        <w:pStyle w:val="TableFigure"/>
      </w:pPr>
    </w:p>
    <w:p w14:paraId="29F18947" w14:textId="77777777" w:rsidR="00232A5A" w:rsidRDefault="00232A5A">
      <w:pPr>
        <w:pStyle w:val="TableFigure"/>
      </w:pPr>
    </w:p>
    <w:p w14:paraId="6EA0392D" w14:textId="77777777" w:rsidR="0080129D" w:rsidRDefault="0080129D">
      <w:pPr>
        <w:pStyle w:val="TableFigure"/>
      </w:pPr>
    </w:p>
    <w:p w14:paraId="328667D5" w14:textId="77777777" w:rsidR="0080129D" w:rsidRDefault="0080129D">
      <w:pPr>
        <w:pStyle w:val="TableFigure"/>
      </w:pPr>
    </w:p>
    <w:p w14:paraId="694A1F95" w14:textId="77777777" w:rsidR="0080129D" w:rsidRDefault="0080129D">
      <w:pPr>
        <w:pStyle w:val="TableFigure"/>
      </w:pPr>
    </w:p>
    <w:p w14:paraId="5BAA82B9" w14:textId="77777777" w:rsidR="0080129D" w:rsidRDefault="0080129D">
      <w:pPr>
        <w:pStyle w:val="TableFigure"/>
      </w:pPr>
    </w:p>
    <w:p w14:paraId="3765ED1E" w14:textId="77777777" w:rsidR="0080129D" w:rsidRDefault="0080129D">
      <w:pPr>
        <w:pStyle w:val="TableFigure"/>
      </w:pPr>
    </w:p>
    <w:p w14:paraId="5C465FAE" w14:textId="77777777" w:rsidR="0080129D" w:rsidRDefault="0080129D">
      <w:pPr>
        <w:pStyle w:val="TableFigure"/>
      </w:pPr>
    </w:p>
    <w:p w14:paraId="12D17081" w14:textId="77777777" w:rsidR="0080129D" w:rsidRDefault="0080129D">
      <w:pPr>
        <w:pStyle w:val="TableFigure"/>
      </w:pPr>
    </w:p>
    <w:p w14:paraId="07D5B39F" w14:textId="77777777" w:rsidR="0080129D" w:rsidRDefault="0080129D">
      <w:pPr>
        <w:pStyle w:val="TableFigure"/>
      </w:pPr>
    </w:p>
    <w:p w14:paraId="2C589B6D" w14:textId="77777777" w:rsidR="0080129D" w:rsidRDefault="0080129D">
      <w:pPr>
        <w:pStyle w:val="TableFigure"/>
      </w:pPr>
    </w:p>
    <w:p w14:paraId="5E4F7512" w14:textId="77777777" w:rsidR="0080129D" w:rsidRDefault="0080129D">
      <w:pPr>
        <w:pStyle w:val="TableFigure"/>
      </w:pPr>
    </w:p>
    <w:p w14:paraId="294B1087" w14:textId="77777777" w:rsidR="0080129D" w:rsidRDefault="0080129D">
      <w:pPr>
        <w:pStyle w:val="TableFigure"/>
      </w:pPr>
    </w:p>
    <w:p w14:paraId="3FC5CE7B" w14:textId="77777777" w:rsidR="0080129D" w:rsidRDefault="0080129D">
      <w:pPr>
        <w:pStyle w:val="TableFigure"/>
      </w:pPr>
    </w:p>
    <w:p w14:paraId="228F0A72" w14:textId="77777777" w:rsidR="0080129D" w:rsidRDefault="0080129D">
      <w:pPr>
        <w:pStyle w:val="TableFigure"/>
      </w:pPr>
    </w:p>
    <w:p w14:paraId="64906F02" w14:textId="77777777" w:rsidR="0080129D" w:rsidRDefault="0080129D">
      <w:pPr>
        <w:pStyle w:val="TableFigure"/>
      </w:pPr>
    </w:p>
    <w:p w14:paraId="13FF9764" w14:textId="77777777" w:rsidR="0080129D" w:rsidRDefault="0080129D">
      <w:pPr>
        <w:pStyle w:val="TableFigure"/>
      </w:pPr>
    </w:p>
    <w:p w14:paraId="3C2B98E1" w14:textId="77777777" w:rsidR="00813110" w:rsidRDefault="00813110">
      <w:pPr>
        <w:pStyle w:val="TableFigure"/>
      </w:pPr>
    </w:p>
    <w:p w14:paraId="422FBDBD" w14:textId="77777777" w:rsidR="00232A5A" w:rsidRDefault="00232A5A">
      <w:pPr>
        <w:pStyle w:val="TableFigure"/>
      </w:pPr>
    </w:p>
    <w:p w14:paraId="4A81D903" w14:textId="37570359" w:rsidR="00232A5A" w:rsidRPr="00232A5A" w:rsidRDefault="00232A5A" w:rsidP="00232A5A">
      <w:pPr>
        <w:jc w:val="center"/>
        <w:rPr>
          <w:b/>
        </w:rPr>
      </w:pPr>
      <w:r w:rsidRPr="00117894">
        <w:rPr>
          <w:b/>
        </w:rPr>
        <w:t>Appendix</w:t>
      </w:r>
      <w:r w:rsidR="00813110">
        <w:rPr>
          <w:b/>
        </w:rPr>
        <w:t xml:space="preserve"> C</w:t>
      </w:r>
    </w:p>
    <w:p w14:paraId="726F2FB7" w14:textId="77777777" w:rsidR="00232A5A" w:rsidRDefault="00232A5A">
      <w:pPr>
        <w:pStyle w:val="TableFigure"/>
      </w:pPr>
    </w:p>
    <w:tbl>
      <w:tblPr>
        <w:tblW w:w="0" w:type="auto"/>
        <w:tblCellMar>
          <w:top w:w="15" w:type="dxa"/>
          <w:left w:w="15" w:type="dxa"/>
          <w:bottom w:w="15" w:type="dxa"/>
          <w:right w:w="15" w:type="dxa"/>
        </w:tblCellMar>
        <w:tblLook w:val="04A0" w:firstRow="1" w:lastRow="0" w:firstColumn="1" w:lastColumn="0" w:noHBand="0" w:noVBand="1"/>
      </w:tblPr>
      <w:tblGrid>
        <w:gridCol w:w="1773"/>
        <w:gridCol w:w="7567"/>
      </w:tblGrid>
      <w:tr w:rsidR="00232A5A" w:rsidRPr="00232A5A" w14:paraId="59916DA6" w14:textId="77777777" w:rsidTr="00232A5A">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93F" w14:textId="77777777" w:rsidR="00232A5A" w:rsidRPr="00232A5A" w:rsidRDefault="00232A5A" w:rsidP="00232A5A">
            <w:pPr>
              <w:jc w:val="center"/>
            </w:pPr>
            <w:r w:rsidRPr="00232A5A">
              <w:rPr>
                <w:rFonts w:ascii="Arial" w:hAnsi="Arial" w:cs="Arial"/>
                <w:b/>
                <w:bCs/>
                <w:color w:val="000000"/>
                <w:sz w:val="22"/>
                <w:szCs w:val="22"/>
              </w:rPr>
              <w:br/>
              <w:t>Terms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9E8B6" w14:textId="77777777" w:rsidR="00232A5A" w:rsidRPr="00232A5A" w:rsidRDefault="00232A5A" w:rsidP="00232A5A">
            <w:pPr>
              <w:jc w:val="center"/>
            </w:pPr>
            <w:r w:rsidRPr="00232A5A">
              <w:rPr>
                <w:rFonts w:ascii="Arial" w:hAnsi="Arial" w:cs="Arial"/>
                <w:b/>
                <w:bCs/>
                <w:color w:val="000000"/>
                <w:sz w:val="22"/>
                <w:szCs w:val="22"/>
              </w:rPr>
              <w:t>Definitions</w:t>
            </w:r>
          </w:p>
        </w:tc>
      </w:tr>
      <w:tr w:rsidR="00232A5A" w:rsidRPr="00232A5A" w14:paraId="54D27ACB" w14:textId="77777777" w:rsidTr="00232A5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69D9" w14:textId="77777777" w:rsidR="00232A5A" w:rsidRPr="00232A5A" w:rsidRDefault="00232A5A" w:rsidP="00232A5A">
            <w:r w:rsidRPr="00232A5A">
              <w:rPr>
                <w:rFonts w:ascii="Arial" w:hAnsi="Arial" w:cs="Arial"/>
                <w:b/>
                <w:bCs/>
                <w:color w:val="000000"/>
                <w:sz w:val="22"/>
                <w:szCs w:val="22"/>
              </w:rPr>
              <w:t>Inherent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17CEE" w14:textId="77777777" w:rsidR="00232A5A" w:rsidRPr="00232A5A" w:rsidRDefault="00232A5A" w:rsidP="00232A5A">
            <w:r w:rsidRPr="00232A5A">
              <w:rPr>
                <w:rFonts w:ascii="Arial" w:hAnsi="Arial" w:cs="Arial"/>
                <w:b/>
                <w:bCs/>
                <w:color w:val="000000"/>
                <w:sz w:val="22"/>
                <w:szCs w:val="22"/>
              </w:rPr>
              <w:t>The amount of risk a business has with the current controls.</w:t>
            </w:r>
          </w:p>
        </w:tc>
      </w:tr>
      <w:tr w:rsidR="00232A5A" w:rsidRPr="00232A5A" w14:paraId="57EF4AE9" w14:textId="77777777" w:rsidTr="00232A5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B0C3" w14:textId="77777777" w:rsidR="00232A5A" w:rsidRPr="00232A5A" w:rsidRDefault="00232A5A" w:rsidP="00232A5A">
            <w:r w:rsidRPr="00232A5A">
              <w:rPr>
                <w:rFonts w:ascii="Arial" w:hAnsi="Arial" w:cs="Arial"/>
                <w:b/>
                <w:bCs/>
                <w:color w:val="000000"/>
                <w:sz w:val="22"/>
                <w:szCs w:val="22"/>
              </w:rPr>
              <w:t>Residual 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2FBB5" w14:textId="77777777" w:rsidR="00232A5A" w:rsidRPr="00232A5A" w:rsidRDefault="00232A5A" w:rsidP="00232A5A">
            <w:r w:rsidRPr="00232A5A">
              <w:rPr>
                <w:rFonts w:ascii="Arial" w:hAnsi="Arial" w:cs="Arial"/>
                <w:b/>
                <w:bCs/>
                <w:color w:val="000000"/>
                <w:sz w:val="22"/>
                <w:szCs w:val="22"/>
              </w:rPr>
              <w:t>The amount of risk left over after controls implemented by the risk assessment.</w:t>
            </w:r>
          </w:p>
        </w:tc>
      </w:tr>
      <w:tr w:rsidR="00232A5A" w:rsidRPr="00232A5A" w14:paraId="4FA5AD53" w14:textId="77777777" w:rsidTr="00232A5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A5BD" w14:textId="77777777" w:rsidR="00232A5A" w:rsidRPr="00232A5A" w:rsidRDefault="00232A5A" w:rsidP="00232A5A">
            <w:r w:rsidRPr="00232A5A">
              <w:rPr>
                <w:rFonts w:ascii="Arial" w:hAnsi="Arial" w:cs="Arial"/>
                <w:b/>
                <w:bCs/>
                <w:color w:val="000000"/>
                <w:sz w:val="22"/>
                <w:szCs w:val="22"/>
              </w:rPr>
              <w:t>Asset 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F602" w14:textId="77777777" w:rsidR="00232A5A" w:rsidRPr="00232A5A" w:rsidRDefault="00232A5A" w:rsidP="00232A5A">
            <w:r w:rsidRPr="00232A5A">
              <w:rPr>
                <w:rFonts w:ascii="Arial" w:hAnsi="Arial" w:cs="Arial"/>
                <w:b/>
                <w:bCs/>
                <w:color w:val="000000"/>
                <w:sz w:val="22"/>
                <w:szCs w:val="22"/>
              </w:rPr>
              <w:t>Determining the asset that needs to be addressed first.</w:t>
            </w:r>
          </w:p>
        </w:tc>
      </w:tr>
    </w:tbl>
    <w:p w14:paraId="21F73A12" w14:textId="77777777" w:rsidR="00232A5A" w:rsidRPr="00232A5A" w:rsidRDefault="00232A5A" w:rsidP="00232A5A">
      <w:pPr>
        <w:rPr>
          <w:rFonts w:eastAsia="Times New Roman"/>
        </w:rPr>
      </w:pPr>
    </w:p>
    <w:p w14:paraId="3C8EC5C4" w14:textId="77777777" w:rsidR="00232A5A" w:rsidRDefault="00232A5A">
      <w:pPr>
        <w:pStyle w:val="TableFigure"/>
      </w:pPr>
    </w:p>
    <w:sectPr w:rsidR="00232A5A">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862E5" w14:textId="77777777" w:rsidR="009366EB" w:rsidRDefault="009366EB">
      <w:r>
        <w:separator/>
      </w:r>
    </w:p>
  </w:endnote>
  <w:endnote w:type="continuationSeparator" w:id="0">
    <w:p w14:paraId="2BC2A94B" w14:textId="77777777" w:rsidR="009366EB" w:rsidRDefault="0093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F7FF9" w14:textId="77777777" w:rsidR="009366EB" w:rsidRDefault="009366EB">
      <w:r>
        <w:separator/>
      </w:r>
    </w:p>
  </w:footnote>
  <w:footnote w:type="continuationSeparator" w:id="0">
    <w:p w14:paraId="1FB6E9D4" w14:textId="77777777" w:rsidR="009366EB" w:rsidRDefault="009366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9C17B" w14:textId="6EC32919" w:rsidR="00223A44" w:rsidRDefault="009366EB">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3A44">
          <w:rPr>
            <w:rStyle w:val="Strong"/>
          </w:rPr>
          <w:t>Case study 3 &amp; 4: Bank risk assessment</w:t>
        </w:r>
      </w:sdtContent>
    </w:sdt>
    <w:r w:rsidR="00223A44">
      <w:rPr>
        <w:rStyle w:val="Strong"/>
      </w:rPr>
      <w:t xml:space="preserve"> </w:t>
    </w:r>
    <w:r w:rsidR="00223A44">
      <w:rPr>
        <w:rStyle w:val="Strong"/>
      </w:rPr>
      <w:ptab w:relativeTo="margin" w:alignment="right" w:leader="none"/>
    </w:r>
    <w:r w:rsidR="00223A44">
      <w:rPr>
        <w:rStyle w:val="Strong"/>
      </w:rPr>
      <w:fldChar w:fldCharType="begin"/>
    </w:r>
    <w:r w:rsidR="00223A44">
      <w:rPr>
        <w:rStyle w:val="Strong"/>
      </w:rPr>
      <w:instrText xml:space="preserve"> PAGE   \* MERGEFORMAT </w:instrText>
    </w:r>
    <w:r w:rsidR="00223A44">
      <w:rPr>
        <w:rStyle w:val="Strong"/>
      </w:rPr>
      <w:fldChar w:fldCharType="separate"/>
    </w:r>
    <w:r w:rsidR="00020942">
      <w:rPr>
        <w:rStyle w:val="Strong"/>
        <w:noProof/>
      </w:rPr>
      <w:t>2</w:t>
    </w:r>
    <w:r w:rsidR="00223A44">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AAD05" w14:textId="283BA3DE" w:rsidR="00223A44" w:rsidRDefault="00223A44">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Case study 3 &amp; 4: Bank risk assessment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20942">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EFA112D"/>
    <w:multiLevelType w:val="multilevel"/>
    <w:tmpl w:val="529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B43D0B"/>
    <w:multiLevelType w:val="multilevel"/>
    <w:tmpl w:val="F972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387AB0"/>
    <w:multiLevelType w:val="multilevel"/>
    <w:tmpl w:val="0FB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232FA0"/>
    <w:multiLevelType w:val="multilevel"/>
    <w:tmpl w:val="B99A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5A4843"/>
    <w:multiLevelType w:val="multilevel"/>
    <w:tmpl w:val="F7A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BF6251"/>
    <w:multiLevelType w:val="multilevel"/>
    <w:tmpl w:val="335E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2278E3"/>
    <w:multiLevelType w:val="multilevel"/>
    <w:tmpl w:val="BEA8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DF6EA6"/>
    <w:multiLevelType w:val="multilevel"/>
    <w:tmpl w:val="31364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B74733"/>
    <w:multiLevelType w:val="multilevel"/>
    <w:tmpl w:val="6DF4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lvlOverride w:ilvl="0">
      <w:lvl w:ilvl="0">
        <w:numFmt w:val="lowerLetter"/>
        <w:lvlText w:val="%1."/>
        <w:lvlJc w:val="left"/>
      </w:lvl>
    </w:lvlOverride>
  </w:num>
  <w:num w:numId="13">
    <w:abstractNumId w:val="11"/>
    <w:lvlOverride w:ilvl="0">
      <w:lvl w:ilvl="0">
        <w:numFmt w:val="lowerLetter"/>
        <w:lvlText w:val="%1."/>
        <w:lvlJc w:val="left"/>
      </w:lvl>
    </w:lvlOverride>
  </w:num>
  <w:num w:numId="14">
    <w:abstractNumId w:val="17"/>
    <w:lvlOverride w:ilvl="0">
      <w:lvl w:ilvl="0">
        <w:numFmt w:val="lowerLetter"/>
        <w:lvlText w:val="%1."/>
        <w:lvlJc w:val="left"/>
      </w:lvl>
    </w:lvlOverride>
  </w:num>
  <w:num w:numId="15">
    <w:abstractNumId w:val="10"/>
    <w:lvlOverride w:ilvl="0">
      <w:lvl w:ilvl="0">
        <w:numFmt w:val="upperLetter"/>
        <w:lvlText w:val="%1."/>
        <w:lvlJc w:val="left"/>
      </w:lvl>
    </w:lvlOverride>
  </w:num>
  <w:num w:numId="16">
    <w:abstractNumId w:val="18"/>
    <w:lvlOverride w:ilvl="0">
      <w:lvl w:ilvl="0">
        <w:numFmt w:val="lowerLetter"/>
        <w:lvlText w:val="%1."/>
        <w:lvlJc w:val="left"/>
      </w:lvl>
    </w:lvlOverride>
  </w:num>
  <w:num w:numId="17">
    <w:abstractNumId w:val="15"/>
    <w:lvlOverride w:ilvl="0">
      <w:lvl w:ilvl="0">
        <w:numFmt w:val="upperLetter"/>
        <w:lvlText w:val="%1."/>
        <w:lvlJc w:val="left"/>
      </w:lvl>
    </w:lvlOverride>
  </w:num>
  <w:num w:numId="18">
    <w:abstractNumId w:val="12"/>
    <w:lvlOverride w:ilvl="0">
      <w:lvl w:ilvl="0">
        <w:numFmt w:val="lowerLetter"/>
        <w:lvlText w:val="%1."/>
        <w:lvlJc w:val="left"/>
      </w:lvl>
    </w:lvlOverride>
  </w:num>
  <w:num w:numId="19">
    <w:abstractNumId w:val="16"/>
    <w:lvlOverride w:ilvl="0">
      <w:lvl w:ilvl="0">
        <w:numFmt w:val="upperLetter"/>
        <w:lvlText w:val="%1."/>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5E"/>
    <w:rsid w:val="00020942"/>
    <w:rsid w:val="00055422"/>
    <w:rsid w:val="00092C59"/>
    <w:rsid w:val="000B2A99"/>
    <w:rsid w:val="000C4857"/>
    <w:rsid w:val="000D58CD"/>
    <w:rsid w:val="00117894"/>
    <w:rsid w:val="00164603"/>
    <w:rsid w:val="00190F53"/>
    <w:rsid w:val="001D3048"/>
    <w:rsid w:val="001D3470"/>
    <w:rsid w:val="001D73A6"/>
    <w:rsid w:val="00216230"/>
    <w:rsid w:val="00223A44"/>
    <w:rsid w:val="00232A5A"/>
    <w:rsid w:val="00232B17"/>
    <w:rsid w:val="00233F17"/>
    <w:rsid w:val="002709E5"/>
    <w:rsid w:val="002A5848"/>
    <w:rsid w:val="002B695F"/>
    <w:rsid w:val="00311771"/>
    <w:rsid w:val="00312F75"/>
    <w:rsid w:val="00323B2A"/>
    <w:rsid w:val="003277A1"/>
    <w:rsid w:val="00330685"/>
    <w:rsid w:val="003363D4"/>
    <w:rsid w:val="0035024A"/>
    <w:rsid w:val="00381469"/>
    <w:rsid w:val="003C433F"/>
    <w:rsid w:val="003C6330"/>
    <w:rsid w:val="003E1EFF"/>
    <w:rsid w:val="004210F5"/>
    <w:rsid w:val="00446A17"/>
    <w:rsid w:val="004D4D46"/>
    <w:rsid w:val="00526CDC"/>
    <w:rsid w:val="0053091D"/>
    <w:rsid w:val="00635C20"/>
    <w:rsid w:val="0065746E"/>
    <w:rsid w:val="006A22C3"/>
    <w:rsid w:val="006B3D1C"/>
    <w:rsid w:val="0072057A"/>
    <w:rsid w:val="00731CC2"/>
    <w:rsid w:val="0080129D"/>
    <w:rsid w:val="00810D6E"/>
    <w:rsid w:val="00813110"/>
    <w:rsid w:val="008640FD"/>
    <w:rsid w:val="008A098C"/>
    <w:rsid w:val="008A6E85"/>
    <w:rsid w:val="008C2831"/>
    <w:rsid w:val="009318A5"/>
    <w:rsid w:val="009366EB"/>
    <w:rsid w:val="009B1185"/>
    <w:rsid w:val="009D5546"/>
    <w:rsid w:val="00A31359"/>
    <w:rsid w:val="00A43388"/>
    <w:rsid w:val="00B0252F"/>
    <w:rsid w:val="00B13546"/>
    <w:rsid w:val="00B2665C"/>
    <w:rsid w:val="00B47AB3"/>
    <w:rsid w:val="00B66744"/>
    <w:rsid w:val="00B8562E"/>
    <w:rsid w:val="00B932C1"/>
    <w:rsid w:val="00C23F83"/>
    <w:rsid w:val="00CF0B5B"/>
    <w:rsid w:val="00CF2C67"/>
    <w:rsid w:val="00D06088"/>
    <w:rsid w:val="00D15200"/>
    <w:rsid w:val="00D2465E"/>
    <w:rsid w:val="00DE0631"/>
    <w:rsid w:val="00E55AB3"/>
    <w:rsid w:val="00E76166"/>
    <w:rsid w:val="00EB1C82"/>
    <w:rsid w:val="00EE5F45"/>
    <w:rsid w:val="00F310F5"/>
    <w:rsid w:val="00F32EFC"/>
    <w:rsid w:val="00FF1F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5E3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2831"/>
    <w:pPr>
      <w:spacing w:line="240" w:lineRule="auto"/>
      <w:ind w:firstLine="0"/>
    </w:pPr>
    <w:rPr>
      <w:rFonts w:ascii="Times New Roman" w:hAnsi="Times New Roman" w:cs="Times New Roman"/>
      <w:lang w:eastAsia="en-US"/>
    </w:rPr>
  </w:style>
  <w:style w:type="paragraph" w:styleId="Heading1">
    <w:name w:val="heading 1"/>
    <w:basedOn w:val="Normal"/>
    <w:next w:val="Normal"/>
    <w:link w:val="Heading1Char"/>
    <w:uiPriority w:val="4"/>
    <w:qFormat/>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tab-span">
    <w:name w:val="apple-tab-span"/>
    <w:basedOn w:val="DefaultParagraphFont"/>
    <w:rsid w:val="002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640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7300949">
      <w:bodyDiv w:val="1"/>
      <w:marLeft w:val="0"/>
      <w:marRight w:val="0"/>
      <w:marTop w:val="0"/>
      <w:marBottom w:val="0"/>
      <w:divBdr>
        <w:top w:val="none" w:sz="0" w:space="0" w:color="auto"/>
        <w:left w:val="none" w:sz="0" w:space="0" w:color="auto"/>
        <w:bottom w:val="none" w:sz="0" w:space="0" w:color="auto"/>
        <w:right w:val="none" w:sz="0" w:space="0" w:color="auto"/>
      </w:divBdr>
      <w:divsChild>
        <w:div w:id="1105268467">
          <w:marLeft w:val="0"/>
          <w:marRight w:val="0"/>
          <w:marTop w:val="0"/>
          <w:marBottom w:val="0"/>
          <w:divBdr>
            <w:top w:val="none" w:sz="0" w:space="0" w:color="auto"/>
            <w:left w:val="none" w:sz="0" w:space="0" w:color="auto"/>
            <w:bottom w:val="none" w:sz="0" w:space="0" w:color="auto"/>
            <w:right w:val="none" w:sz="0" w:space="0" w:color="auto"/>
          </w:divBdr>
        </w:div>
      </w:divsChild>
    </w:div>
    <w:div w:id="229654777">
      <w:bodyDiv w:val="1"/>
      <w:marLeft w:val="0"/>
      <w:marRight w:val="0"/>
      <w:marTop w:val="0"/>
      <w:marBottom w:val="0"/>
      <w:divBdr>
        <w:top w:val="none" w:sz="0" w:space="0" w:color="auto"/>
        <w:left w:val="none" w:sz="0" w:space="0" w:color="auto"/>
        <w:bottom w:val="none" w:sz="0" w:space="0" w:color="auto"/>
        <w:right w:val="none" w:sz="0" w:space="0" w:color="auto"/>
      </w:divBdr>
      <w:divsChild>
        <w:div w:id="1272585757">
          <w:marLeft w:val="0"/>
          <w:marRight w:val="0"/>
          <w:marTop w:val="0"/>
          <w:marBottom w:val="0"/>
          <w:divBdr>
            <w:top w:val="none" w:sz="0" w:space="0" w:color="auto"/>
            <w:left w:val="none" w:sz="0" w:space="0" w:color="auto"/>
            <w:bottom w:val="none" w:sz="0" w:space="0" w:color="auto"/>
            <w:right w:val="none" w:sz="0" w:space="0" w:color="auto"/>
          </w:divBdr>
        </w:div>
        <w:div w:id="1101298530">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3433">
      <w:bodyDiv w:val="1"/>
      <w:marLeft w:val="0"/>
      <w:marRight w:val="0"/>
      <w:marTop w:val="0"/>
      <w:marBottom w:val="0"/>
      <w:divBdr>
        <w:top w:val="none" w:sz="0" w:space="0" w:color="auto"/>
        <w:left w:val="none" w:sz="0" w:space="0" w:color="auto"/>
        <w:bottom w:val="none" w:sz="0" w:space="0" w:color="auto"/>
        <w:right w:val="none" w:sz="0" w:space="0" w:color="auto"/>
      </w:divBdr>
    </w:div>
    <w:div w:id="4330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74">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2060095">
      <w:bodyDiv w:val="1"/>
      <w:marLeft w:val="0"/>
      <w:marRight w:val="0"/>
      <w:marTop w:val="0"/>
      <w:marBottom w:val="0"/>
      <w:divBdr>
        <w:top w:val="none" w:sz="0" w:space="0" w:color="auto"/>
        <w:left w:val="none" w:sz="0" w:space="0" w:color="auto"/>
        <w:bottom w:val="none" w:sz="0" w:space="0" w:color="auto"/>
        <w:right w:val="none" w:sz="0" w:space="0" w:color="auto"/>
      </w:divBdr>
    </w:div>
    <w:div w:id="596672083">
      <w:bodyDiv w:val="1"/>
      <w:marLeft w:val="0"/>
      <w:marRight w:val="0"/>
      <w:marTop w:val="0"/>
      <w:marBottom w:val="0"/>
      <w:divBdr>
        <w:top w:val="none" w:sz="0" w:space="0" w:color="auto"/>
        <w:left w:val="none" w:sz="0" w:space="0" w:color="auto"/>
        <w:bottom w:val="none" w:sz="0" w:space="0" w:color="auto"/>
        <w:right w:val="none" w:sz="0" w:space="0" w:color="auto"/>
      </w:divBdr>
      <w:divsChild>
        <w:div w:id="690567157">
          <w:marLeft w:val="0"/>
          <w:marRight w:val="0"/>
          <w:marTop w:val="0"/>
          <w:marBottom w:val="0"/>
          <w:divBdr>
            <w:top w:val="none" w:sz="0" w:space="0" w:color="auto"/>
            <w:left w:val="none" w:sz="0" w:space="0" w:color="auto"/>
            <w:bottom w:val="none" w:sz="0" w:space="0" w:color="auto"/>
            <w:right w:val="none" w:sz="0" w:space="0" w:color="auto"/>
          </w:divBdr>
        </w:div>
        <w:div w:id="693069505">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7456748">
      <w:bodyDiv w:val="1"/>
      <w:marLeft w:val="0"/>
      <w:marRight w:val="0"/>
      <w:marTop w:val="0"/>
      <w:marBottom w:val="0"/>
      <w:divBdr>
        <w:top w:val="none" w:sz="0" w:space="0" w:color="auto"/>
        <w:left w:val="none" w:sz="0" w:space="0" w:color="auto"/>
        <w:bottom w:val="none" w:sz="0" w:space="0" w:color="auto"/>
        <w:right w:val="none" w:sz="0" w:space="0" w:color="auto"/>
      </w:divBdr>
    </w:div>
    <w:div w:id="829904036">
      <w:bodyDiv w:val="1"/>
      <w:marLeft w:val="0"/>
      <w:marRight w:val="0"/>
      <w:marTop w:val="0"/>
      <w:marBottom w:val="0"/>
      <w:divBdr>
        <w:top w:val="none" w:sz="0" w:space="0" w:color="auto"/>
        <w:left w:val="none" w:sz="0" w:space="0" w:color="auto"/>
        <w:bottom w:val="none" w:sz="0" w:space="0" w:color="auto"/>
        <w:right w:val="none" w:sz="0" w:space="0" w:color="auto"/>
      </w:divBdr>
    </w:div>
    <w:div w:id="8486429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419750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845277">
      <w:bodyDiv w:val="1"/>
      <w:marLeft w:val="0"/>
      <w:marRight w:val="0"/>
      <w:marTop w:val="0"/>
      <w:marBottom w:val="0"/>
      <w:divBdr>
        <w:top w:val="none" w:sz="0" w:space="0" w:color="auto"/>
        <w:left w:val="none" w:sz="0" w:space="0" w:color="auto"/>
        <w:bottom w:val="none" w:sz="0" w:space="0" w:color="auto"/>
        <w:right w:val="none" w:sz="0" w:space="0" w:color="auto"/>
      </w:divBdr>
      <w:divsChild>
        <w:div w:id="502428212">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108261">
      <w:bodyDiv w:val="1"/>
      <w:marLeft w:val="0"/>
      <w:marRight w:val="0"/>
      <w:marTop w:val="0"/>
      <w:marBottom w:val="0"/>
      <w:divBdr>
        <w:top w:val="none" w:sz="0" w:space="0" w:color="auto"/>
        <w:left w:val="none" w:sz="0" w:space="0" w:color="auto"/>
        <w:bottom w:val="none" w:sz="0" w:space="0" w:color="auto"/>
        <w:right w:val="none" w:sz="0" w:space="0" w:color="auto"/>
      </w:divBdr>
      <w:divsChild>
        <w:div w:id="1053045149">
          <w:marLeft w:val="0"/>
          <w:marRight w:val="0"/>
          <w:marTop w:val="0"/>
          <w:marBottom w:val="0"/>
          <w:divBdr>
            <w:top w:val="none" w:sz="0" w:space="0" w:color="auto"/>
            <w:left w:val="none" w:sz="0" w:space="0" w:color="auto"/>
            <w:bottom w:val="none" w:sz="0" w:space="0" w:color="auto"/>
            <w:right w:val="none" w:sz="0" w:space="0" w:color="auto"/>
          </w:divBdr>
        </w:div>
      </w:divsChild>
    </w:div>
    <w:div w:id="1494757341">
      <w:bodyDiv w:val="1"/>
      <w:marLeft w:val="0"/>
      <w:marRight w:val="0"/>
      <w:marTop w:val="0"/>
      <w:marBottom w:val="0"/>
      <w:divBdr>
        <w:top w:val="none" w:sz="0" w:space="0" w:color="auto"/>
        <w:left w:val="none" w:sz="0" w:space="0" w:color="auto"/>
        <w:bottom w:val="none" w:sz="0" w:space="0" w:color="auto"/>
        <w:right w:val="none" w:sz="0" w:space="0" w:color="auto"/>
      </w:divBdr>
      <w:divsChild>
        <w:div w:id="959871400">
          <w:marLeft w:val="0"/>
          <w:marRight w:val="0"/>
          <w:marTop w:val="0"/>
          <w:marBottom w:val="0"/>
          <w:divBdr>
            <w:top w:val="none" w:sz="0" w:space="0" w:color="auto"/>
            <w:left w:val="none" w:sz="0" w:space="0" w:color="auto"/>
            <w:bottom w:val="none" w:sz="0" w:space="0" w:color="auto"/>
            <w:right w:val="none" w:sz="0" w:space="0" w:color="auto"/>
          </w:divBdr>
        </w:div>
      </w:divsChild>
    </w:div>
    <w:div w:id="150400471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9935957">
      <w:bodyDiv w:val="1"/>
      <w:marLeft w:val="0"/>
      <w:marRight w:val="0"/>
      <w:marTop w:val="0"/>
      <w:marBottom w:val="0"/>
      <w:divBdr>
        <w:top w:val="none" w:sz="0" w:space="0" w:color="auto"/>
        <w:left w:val="none" w:sz="0" w:space="0" w:color="auto"/>
        <w:bottom w:val="none" w:sz="0" w:space="0" w:color="auto"/>
        <w:right w:val="none" w:sz="0" w:space="0" w:color="auto"/>
      </w:divBdr>
    </w:div>
    <w:div w:id="1665082226">
      <w:bodyDiv w:val="1"/>
      <w:marLeft w:val="0"/>
      <w:marRight w:val="0"/>
      <w:marTop w:val="0"/>
      <w:marBottom w:val="0"/>
      <w:divBdr>
        <w:top w:val="none" w:sz="0" w:space="0" w:color="auto"/>
        <w:left w:val="none" w:sz="0" w:space="0" w:color="auto"/>
        <w:bottom w:val="none" w:sz="0" w:space="0" w:color="auto"/>
        <w:right w:val="none" w:sz="0" w:space="0" w:color="auto"/>
      </w:divBdr>
      <w:divsChild>
        <w:div w:id="636106718">
          <w:marLeft w:val="0"/>
          <w:marRight w:val="0"/>
          <w:marTop w:val="0"/>
          <w:marBottom w:val="0"/>
          <w:divBdr>
            <w:top w:val="none" w:sz="0" w:space="0" w:color="auto"/>
            <w:left w:val="none" w:sz="0" w:space="0" w:color="auto"/>
            <w:bottom w:val="none" w:sz="0" w:space="0" w:color="auto"/>
            <w:right w:val="none" w:sz="0" w:space="0" w:color="auto"/>
          </w:divBdr>
        </w:div>
      </w:divsChild>
    </w:div>
    <w:div w:id="1680233849">
      <w:bodyDiv w:val="1"/>
      <w:marLeft w:val="0"/>
      <w:marRight w:val="0"/>
      <w:marTop w:val="0"/>
      <w:marBottom w:val="0"/>
      <w:divBdr>
        <w:top w:val="none" w:sz="0" w:space="0" w:color="auto"/>
        <w:left w:val="none" w:sz="0" w:space="0" w:color="auto"/>
        <w:bottom w:val="none" w:sz="0" w:space="0" w:color="auto"/>
        <w:right w:val="none" w:sz="0" w:space="0" w:color="auto"/>
      </w:divBdr>
    </w:div>
    <w:div w:id="1719012162">
      <w:bodyDiv w:val="1"/>
      <w:marLeft w:val="0"/>
      <w:marRight w:val="0"/>
      <w:marTop w:val="0"/>
      <w:marBottom w:val="0"/>
      <w:divBdr>
        <w:top w:val="none" w:sz="0" w:space="0" w:color="auto"/>
        <w:left w:val="none" w:sz="0" w:space="0" w:color="auto"/>
        <w:bottom w:val="none" w:sz="0" w:space="0" w:color="auto"/>
        <w:right w:val="none" w:sz="0" w:space="0" w:color="auto"/>
      </w:divBdr>
    </w:div>
    <w:div w:id="1720932134">
      <w:bodyDiv w:val="1"/>
      <w:marLeft w:val="0"/>
      <w:marRight w:val="0"/>
      <w:marTop w:val="0"/>
      <w:marBottom w:val="0"/>
      <w:divBdr>
        <w:top w:val="none" w:sz="0" w:space="0" w:color="auto"/>
        <w:left w:val="none" w:sz="0" w:space="0" w:color="auto"/>
        <w:bottom w:val="none" w:sz="0" w:space="0" w:color="auto"/>
        <w:right w:val="none" w:sz="0" w:space="0" w:color="auto"/>
      </w:divBdr>
    </w:div>
    <w:div w:id="17469477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2770754">
      <w:bodyDiv w:val="1"/>
      <w:marLeft w:val="0"/>
      <w:marRight w:val="0"/>
      <w:marTop w:val="0"/>
      <w:marBottom w:val="0"/>
      <w:divBdr>
        <w:top w:val="none" w:sz="0" w:space="0" w:color="auto"/>
        <w:left w:val="none" w:sz="0" w:space="0" w:color="auto"/>
        <w:bottom w:val="none" w:sz="0" w:space="0" w:color="auto"/>
        <w:right w:val="none" w:sz="0" w:space="0" w:color="auto"/>
      </w:divBdr>
      <w:divsChild>
        <w:div w:id="313410894">
          <w:marLeft w:val="0"/>
          <w:marRight w:val="0"/>
          <w:marTop w:val="0"/>
          <w:marBottom w:val="0"/>
          <w:divBdr>
            <w:top w:val="none" w:sz="0" w:space="0" w:color="auto"/>
            <w:left w:val="none" w:sz="0" w:space="0" w:color="auto"/>
            <w:bottom w:val="none" w:sz="0" w:space="0" w:color="auto"/>
            <w:right w:val="none" w:sz="0" w:space="0" w:color="auto"/>
          </w:divBdr>
        </w:div>
      </w:divsChild>
    </w:div>
    <w:div w:id="1943878554">
      <w:bodyDiv w:val="1"/>
      <w:marLeft w:val="0"/>
      <w:marRight w:val="0"/>
      <w:marTop w:val="0"/>
      <w:marBottom w:val="0"/>
      <w:divBdr>
        <w:top w:val="none" w:sz="0" w:space="0" w:color="auto"/>
        <w:left w:val="none" w:sz="0" w:space="0" w:color="auto"/>
        <w:bottom w:val="none" w:sz="0" w:space="0" w:color="auto"/>
        <w:right w:val="none" w:sz="0" w:space="0" w:color="auto"/>
      </w:divBdr>
      <w:divsChild>
        <w:div w:id="670377122">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1370737">
      <w:bodyDiv w:val="1"/>
      <w:marLeft w:val="0"/>
      <w:marRight w:val="0"/>
      <w:marTop w:val="0"/>
      <w:marBottom w:val="0"/>
      <w:divBdr>
        <w:top w:val="none" w:sz="0" w:space="0" w:color="auto"/>
        <w:left w:val="none" w:sz="0" w:space="0" w:color="auto"/>
        <w:bottom w:val="none" w:sz="0" w:space="0" w:color="auto"/>
        <w:right w:val="none" w:sz="0" w:space="0" w:color="auto"/>
      </w:divBdr>
      <w:divsChild>
        <w:div w:id="173233488">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011192">
      <w:bodyDiv w:val="1"/>
      <w:marLeft w:val="0"/>
      <w:marRight w:val="0"/>
      <w:marTop w:val="0"/>
      <w:marBottom w:val="0"/>
      <w:divBdr>
        <w:top w:val="none" w:sz="0" w:space="0" w:color="auto"/>
        <w:left w:val="none" w:sz="0" w:space="0" w:color="auto"/>
        <w:bottom w:val="none" w:sz="0" w:space="0" w:color="auto"/>
        <w:right w:val="none" w:sz="0" w:space="0" w:color="auto"/>
      </w:divBdr>
      <w:divsChild>
        <w:div w:id="76346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km/Library/Containers/com.microsoft.Word/Data/Library/Caches/4105/TM10002091/AP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Case study 3 &amp; 4: Bank risk assessment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AAF8D-913C-6A44-8E5E-40A92F601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107</TotalTime>
  <Pages>9</Pages>
  <Words>1162</Words>
  <Characters>6630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Case Study 2: Bank Risk Assessment </vt:lpstr>
    </vt:vector>
  </TitlesOfParts>
  <Company/>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 Bank Risk Assessment </dc:title>
  <dc:subject/>
  <dc:creator>Nicole Merritt</dc:creator>
  <cp:keywords/>
  <dc:description/>
  <cp:lastModifiedBy>Nicole Merritt</cp:lastModifiedBy>
  <cp:revision>7</cp:revision>
  <dcterms:created xsi:type="dcterms:W3CDTF">2018-05-01T12:36:00Z</dcterms:created>
  <dcterms:modified xsi:type="dcterms:W3CDTF">2018-05-04T00:00:00Z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