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4"/>
        </w:rPr>
        <w:t>BỘ 20 CÂU HỎI KIỂM THỬ HỆ THỐNG</w:t>
        <w:br/>
        <w:t>TRUY XUẤT VÀ ÁP DỤNG PHÁP LUẬT TRONG TRƯỜNG ĐẠI HỌC</w:t>
      </w:r>
    </w:p>
    <w:p>
      <w:pPr>
        <w:jc w:val="center"/>
      </w:pPr>
      <w:r>
        <w:rPr>
          <w:rFonts w:ascii="Times New Roman" w:hAnsi="Times New Roman" w:eastAsia="Times New Roman"/>
          <w:b w:val="0"/>
          <w:i/>
          <w:sz w:val="22"/>
        </w:rPr>
        <w:t>Phiên bản benchmark: 20/08/2026</w:t>
      </w:r>
    </w:p>
    <w:p>
      <w:pPr>
        <w:pStyle w:val="Heading1"/>
      </w:pPr>
      <w:r>
        <w:t>1. Mục đích sử dụng</w:t>
      </w:r>
    </w:p>
    <w:p>
      <w:pPr>
        <w:spacing w:after="100"/>
      </w:pPr>
      <w:r>
        <w:rPr>
          <w:rFonts w:ascii="Times New Roman" w:hAnsi="Times New Roman" w:eastAsia="Times New Roman"/>
        </w:rPr>
        <w:t>Bộ câu hỏi dùng để kiểm tra đồng thời khả năng hiểu tình huống pháp lý, truy quét văn bản quy phạm pháp luật, xác định hiệu lực theo thời gian, đối chiếu nhiều tầng văn bản và đưa ra kết luận áp dụng cho môi trường trường đại học. Bộ câu hỏi không kèm đáp án nhằm hạn chế việc hệ thống học thuộc benchmark.</w:t>
      </w:r>
    </w:p>
    <w:p>
      <w:pPr>
        <w:pStyle w:val="Heading1"/>
      </w:pPr>
      <w:r>
        <w:t>2. Yêu cầu bắt buộc đối với câu trả lời của hệ thống</w:t>
      </w:r>
    </w:p>
    <w:p>
      <w:pPr>
        <w:pStyle w:val="ListBullet"/>
        <w:spacing w:after="40"/>
      </w:pPr>
      <w:r>
        <w:rPr>
          <w:rFonts w:ascii="Times New Roman" w:hAnsi="Times New Roman" w:eastAsia="Times New Roman"/>
          <w:sz w:val="24"/>
        </w:rPr>
        <w:t>Xác định đúng văn bản đang có hiệu lực tại thời điểm trả lời; không chỉ dựa vào văn bản cũ thường xuất hiện trên Internet.</w:t>
      </w:r>
    </w:p>
    <w:p>
      <w:pPr>
        <w:pStyle w:val="ListBullet"/>
        <w:spacing w:after="40"/>
      </w:pPr>
      <w:r>
        <w:rPr>
          <w:rFonts w:ascii="Times New Roman" w:hAnsi="Times New Roman" w:eastAsia="Times New Roman"/>
          <w:sz w:val="24"/>
        </w:rPr>
        <w:t>Nêu tối thiểu: tên văn bản, số/ký hiệu, cơ quan ban hành và điều/khoản hoặc nội dung quy phạm trực tiếp liên quan.</w:t>
      </w:r>
    </w:p>
    <w:p>
      <w:pPr>
        <w:pStyle w:val="ListBullet"/>
        <w:spacing w:after="40"/>
      </w:pPr>
      <w:r>
        <w:rPr>
          <w:rFonts w:ascii="Times New Roman" w:hAnsi="Times New Roman" w:eastAsia="Times New Roman"/>
          <w:sz w:val="24"/>
        </w:rPr>
        <w:t>Nếu có văn bản sửa đổi, thay thế, bãi bỏ, hợp nhất hoặc quy định chuyển tiếp thì phải thể hiện rõ quan hệ giữa các văn bản.</w:t>
      </w:r>
    </w:p>
    <w:p>
      <w:pPr>
        <w:pStyle w:val="ListBullet"/>
        <w:spacing w:after="40"/>
      </w:pPr>
      <w:r>
        <w:rPr>
          <w:rFonts w:ascii="Times New Roman" w:hAnsi="Times New Roman" w:eastAsia="Times New Roman"/>
          <w:sz w:val="24"/>
        </w:rPr>
        <w:t>Phân biệt quy định của Luật/Nghị định/Thông tư với quy chế nội bộ của cơ sở giáo dục; không coi quy định nội bộ là căn cứ pháp luật cấp Nhà nước.</w:t>
      </w:r>
    </w:p>
    <w:p>
      <w:pPr>
        <w:pStyle w:val="ListBullet"/>
        <w:spacing w:after="40"/>
      </w:pPr>
      <w:r>
        <w:rPr>
          <w:rFonts w:ascii="Times New Roman" w:hAnsi="Times New Roman" w:eastAsia="Times New Roman"/>
          <w:sz w:val="24"/>
        </w:rPr>
        <w:t>Kết luận phải gắn với tình huống thực tế; nếu thiếu dữ kiện để kết luận chắc chắn thì phải chỉ ra dữ kiện cần bổ sung.</w:t>
      </w:r>
    </w:p>
    <w:p>
      <w:pPr>
        <w:pStyle w:val="ListBullet"/>
        <w:spacing w:after="40"/>
      </w:pPr>
      <w:r>
        <w:rPr>
          <w:rFonts w:ascii="Times New Roman" w:hAnsi="Times New Roman" w:eastAsia="Times New Roman"/>
          <w:sz w:val="24"/>
        </w:rPr>
        <w:t>Ưu tiên nguồn chính thức và phải thể hiện provenance/đường dẫn nguồn nếu hệ thống có chức năng trích dẫn.</w:t>
      </w:r>
    </w:p>
    <w:p/>
    <w:p>
      <w:pPr>
        <w:pStyle w:val="Heading1"/>
      </w:pPr>
      <w:r>
        <w:t>3. Danh sách 20 câu hỏi kiểm thử</w:t>
      </w:r>
    </w:p>
    <w:p>
      <w:pPr>
        <w:pStyle w:val="Heading2"/>
      </w:pPr>
      <w:r>
        <w:t>Giáo dục - đào tạo</w:t>
      </w:r>
    </w:p>
    <w:p>
      <w:pPr>
        <w:spacing w:before="80" w:after="40"/>
      </w:pPr>
      <w:r>
        <w:rPr>
          <w:rFonts w:ascii="Times New Roman" w:hAnsi="Times New Roman" w:eastAsia="Times New Roman"/>
          <w:b/>
          <w:sz w:val="25"/>
        </w:rPr>
        <w:t xml:space="preserve">Câu 1. </w:t>
      </w:r>
      <w:r>
        <w:rPr>
          <w:rFonts w:ascii="Times New Roman" w:hAnsi="Times New Roman" w:eastAsia="Times New Roman"/>
          <w:sz w:val="25"/>
        </w:rPr>
        <w:t>Một trường đại học công lập dự kiến mở một ngành đào tạo trình độ đại học mới từ năm học 2026-2027. Hãy xác định các điều kiện pháp lý, thẩm quyền quyết định, hồ sơ/quy trình chính và các văn bản hiện hành cần áp dụng. Nếu quy định năm 2026 khác với quy định trước đây, phải chỉ rõ điểm chuyển tiếp hoặc văn bản thay thế.</w:t>
      </w:r>
    </w:p>
    <w:p>
      <w:pPr>
        <w:spacing w:after="100"/>
        <w:ind w:left="340"/>
      </w:pPr>
      <w:r>
        <w:rPr>
          <w:rFonts w:ascii="Times New Roman" w:hAnsi="Times New Roman" w:eastAsia="Times New Roman"/>
          <w:b w:val="0"/>
          <w:i/>
          <w:sz w:val="21"/>
        </w:rPr>
        <w:t>Năng lực kiểm tra: Truy xuất đa tầng + hiệu lực | Độ khó: Khó</w:t>
      </w:r>
    </w:p>
    <w:p>
      <w:pPr>
        <w:spacing w:before="80" w:after="40"/>
      </w:pPr>
      <w:r>
        <w:rPr>
          <w:rFonts w:ascii="Times New Roman" w:hAnsi="Times New Roman" w:eastAsia="Times New Roman"/>
          <w:b/>
          <w:sz w:val="25"/>
        </w:rPr>
        <w:t xml:space="preserve">Câu 2. </w:t>
      </w:r>
      <w:r>
        <w:rPr>
          <w:rFonts w:ascii="Times New Roman" w:hAnsi="Times New Roman" w:eastAsia="Times New Roman"/>
          <w:sz w:val="25"/>
        </w:rPr>
        <w:t>Trường đại học tự chủ muốn tự quyết định mức thu học phí của một chương trình đào tạo có chi phí cao. Nhà trường được tự quyết đến mức nào, phải đáp ứng điều kiện công khai/giải trình gì, và có giới hạn nào từ pháp luật hiện hành?</w:t>
      </w:r>
    </w:p>
    <w:p>
      <w:pPr>
        <w:spacing w:after="100"/>
        <w:ind w:left="340"/>
      </w:pPr>
      <w:r>
        <w:rPr>
          <w:rFonts w:ascii="Times New Roman" w:hAnsi="Times New Roman" w:eastAsia="Times New Roman"/>
          <w:b w:val="0"/>
          <w:i/>
          <w:sz w:val="21"/>
        </w:rPr>
        <w:t>Năng lực kiểm tra: Áp dụng pháp luật + tự chủ | Độ khó: Khó</w:t>
      </w:r>
    </w:p>
    <w:p>
      <w:pPr>
        <w:spacing w:before="80" w:after="40"/>
      </w:pPr>
      <w:r>
        <w:rPr>
          <w:rFonts w:ascii="Times New Roman" w:hAnsi="Times New Roman" w:eastAsia="Times New Roman"/>
          <w:b/>
          <w:sz w:val="25"/>
        </w:rPr>
        <w:t xml:space="preserve">Câu 3. </w:t>
      </w:r>
      <w:r>
        <w:rPr>
          <w:rFonts w:ascii="Times New Roman" w:hAnsi="Times New Roman" w:eastAsia="Times New Roman"/>
          <w:sz w:val="25"/>
        </w:rPr>
        <w:t>Một đơn vị đang viện dẫn Thông tư 08/2021/TT-BGDĐT để xử lý một vụ việc đào tạo đại học vào tháng 8/2026. Hãy kiểm tra văn bản này còn hiệu lực toàn bộ, một phần hay đã được thay thế/sửa đổi; xác định văn bản hiện hành phải ưu tiên áp dụng và giải thích lý do.</w:t>
      </w:r>
    </w:p>
    <w:p>
      <w:pPr>
        <w:spacing w:after="100"/>
        <w:ind w:left="340"/>
      </w:pPr>
      <w:r>
        <w:rPr>
          <w:rFonts w:ascii="Times New Roman" w:hAnsi="Times New Roman" w:eastAsia="Times New Roman"/>
          <w:b w:val="0"/>
          <w:i/>
          <w:sz w:val="21"/>
        </w:rPr>
        <w:t>Năng lực kiểm tra: Kiểm tra hiệu lực văn bản | Độ khó: Khó</w:t>
      </w:r>
    </w:p>
    <w:p>
      <w:pPr>
        <w:spacing w:before="80" w:after="40"/>
      </w:pPr>
      <w:r>
        <w:rPr>
          <w:rFonts w:ascii="Times New Roman" w:hAnsi="Times New Roman" w:eastAsia="Times New Roman"/>
          <w:b/>
          <w:sz w:val="25"/>
        </w:rPr>
        <w:t xml:space="preserve">Câu 4. </w:t>
      </w:r>
      <w:r>
        <w:rPr>
          <w:rFonts w:ascii="Times New Roman" w:hAnsi="Times New Roman" w:eastAsia="Times New Roman"/>
          <w:sz w:val="25"/>
        </w:rPr>
        <w:t>Quy chế nội bộ của trường bổ sung một điều kiện xét tốt nghiệp mà sinh viên cho rằng không có trong quy định của Bộ Giáo dục và Đào tạo và không được công bố khi nhập học. Hãy phân tích tính hợp pháp của việc áp dụng điều kiện này và xác định các căn cứ pháp lý cần kiểm tra.</w:t>
      </w:r>
    </w:p>
    <w:p>
      <w:pPr>
        <w:spacing w:after="100"/>
        <w:ind w:left="340"/>
      </w:pPr>
      <w:r>
        <w:rPr>
          <w:rFonts w:ascii="Times New Roman" w:hAnsi="Times New Roman" w:eastAsia="Times New Roman"/>
          <w:b w:val="0"/>
          <w:i/>
          <w:sz w:val="21"/>
        </w:rPr>
        <w:t>Năng lực kiểm tra: Xung đột quy định nội bộ | Độ khó: Trung bình - Khó</w:t>
      </w:r>
    </w:p>
    <w:p>
      <w:pPr>
        <w:spacing w:before="80" w:after="40"/>
      </w:pPr>
      <w:r>
        <w:rPr>
          <w:rFonts w:ascii="Times New Roman" w:hAnsi="Times New Roman" w:eastAsia="Times New Roman"/>
          <w:b/>
          <w:sz w:val="25"/>
        </w:rPr>
        <w:t xml:space="preserve">Câu 5. </w:t>
      </w:r>
      <w:r>
        <w:rPr>
          <w:rFonts w:ascii="Times New Roman" w:hAnsi="Times New Roman" w:eastAsia="Times New Roman"/>
          <w:sz w:val="25"/>
        </w:rPr>
        <w:t>Nhà trường phát hiện một người đã được cấp bằng tốt nghiệp nhưng sau đó có bằng chứng về gian lận nghiêm trọng trong hồ sơ hoặc quá trình học. Trong trường hợp nào có thể thu hồi/hủy văn bằng, ai có thẩm quyền và thủ tục pháp lý phải thực hiện như thế nào?</w:t>
      </w:r>
    </w:p>
    <w:p>
      <w:pPr>
        <w:spacing w:after="100"/>
        <w:ind w:left="340"/>
      </w:pPr>
      <w:r>
        <w:rPr>
          <w:rFonts w:ascii="Times New Roman" w:hAnsi="Times New Roman" w:eastAsia="Times New Roman"/>
          <w:b w:val="0"/>
          <w:i/>
          <w:sz w:val="21"/>
        </w:rPr>
        <w:t>Năng lực kiểm tra: Thủ tục + thẩm quyền | Độ khó: Khó</w:t>
      </w:r>
    </w:p>
    <w:p>
      <w:pPr>
        <w:pStyle w:val="Heading2"/>
      </w:pPr>
      <w:r>
        <w:t>Tài chính</w:t>
      </w:r>
    </w:p>
    <w:p>
      <w:pPr>
        <w:spacing w:before="80" w:after="40"/>
      </w:pPr>
      <w:r>
        <w:rPr>
          <w:rFonts w:ascii="Times New Roman" w:hAnsi="Times New Roman" w:eastAsia="Times New Roman"/>
          <w:b/>
          <w:sz w:val="25"/>
        </w:rPr>
        <w:t xml:space="preserve">Câu 6. </w:t>
      </w:r>
      <w:r>
        <w:rPr>
          <w:rFonts w:ascii="Times New Roman" w:hAnsi="Times New Roman" w:eastAsia="Times New Roman"/>
          <w:sz w:val="25"/>
        </w:rPr>
        <w:t>Một trường đại học công lập tự chủ sử dụng nguồn thu học phí hợp pháp để mua hệ thống máy chủ và thiết bị có tổng giá trị 2 tỷ đồng. Hãy xác định giao dịch này có thuộc phạm vi áp dụng của pháp luật về đấu thầu hay không, hình thức/lộ trình lựa chọn nhà thầu nào có thể áp dụng và việc kết luận có thay đổi nếu sử dụng ngân sách nhà nước hay không.</w:t>
      </w:r>
    </w:p>
    <w:p>
      <w:pPr>
        <w:spacing w:after="100"/>
        <w:ind w:left="340"/>
      </w:pPr>
      <w:r>
        <w:rPr>
          <w:rFonts w:ascii="Times New Roman" w:hAnsi="Times New Roman" w:eastAsia="Times New Roman"/>
          <w:b w:val="0"/>
          <w:i/>
          <w:sz w:val="21"/>
        </w:rPr>
        <w:t>Năng lực kiểm tra: Phân loại nguồn vốn + đấu thầu | Độ khó: Khó</w:t>
      </w:r>
    </w:p>
    <w:p>
      <w:pPr>
        <w:spacing w:before="80" w:after="40"/>
      </w:pPr>
      <w:r>
        <w:rPr>
          <w:rFonts w:ascii="Times New Roman" w:hAnsi="Times New Roman" w:eastAsia="Times New Roman"/>
          <w:b/>
          <w:sz w:val="25"/>
        </w:rPr>
        <w:t xml:space="preserve">Câu 7. </w:t>
      </w:r>
      <w:r>
        <w:rPr>
          <w:rFonts w:ascii="Times New Roman" w:hAnsi="Times New Roman" w:eastAsia="Times New Roman"/>
          <w:sz w:val="25"/>
        </w:rPr>
        <w:t>Nhà trường muốn cho một doanh nghiệp thuê một phần diện tích nhà/đất hoặc cơ sở vật chất thuộc trường để kinh doanh dịch vụ phục vụ sinh viên. Hãy xác định điều kiện pháp lý, thẩm quyền phê duyệt, nguyên tắc xác định giá và cách quản lý nguồn thu.</w:t>
      </w:r>
    </w:p>
    <w:p>
      <w:pPr>
        <w:spacing w:after="100"/>
        <w:ind w:left="340"/>
      </w:pPr>
      <w:r>
        <w:rPr>
          <w:rFonts w:ascii="Times New Roman" w:hAnsi="Times New Roman" w:eastAsia="Times New Roman"/>
          <w:b w:val="0"/>
          <w:i/>
          <w:sz w:val="21"/>
        </w:rPr>
        <w:t>Năng lực kiểm tra: Tài sản công + thẩm quyền | Độ khó: Khó</w:t>
      </w:r>
    </w:p>
    <w:p>
      <w:pPr>
        <w:spacing w:before="80" w:after="40"/>
      </w:pPr>
      <w:r>
        <w:rPr>
          <w:rFonts w:ascii="Times New Roman" w:hAnsi="Times New Roman" w:eastAsia="Times New Roman"/>
          <w:b/>
          <w:sz w:val="25"/>
        </w:rPr>
        <w:t xml:space="preserve">Câu 8. </w:t>
      </w:r>
      <w:r>
        <w:rPr>
          <w:rFonts w:ascii="Times New Roman" w:hAnsi="Times New Roman" w:eastAsia="Times New Roman"/>
          <w:sz w:val="25"/>
        </w:rPr>
        <w:t>Trường đại học công lập có nguồn thu sự nghiệp vượt dự toán và muốn chi thu nhập tăng thêm cho giảng viên, viên chức. Hãy xác định căn cứ pháp lý, giới hạn/điều kiện, vai trò của quy chế chi tiêu nội bộ và các nghĩa vụ công khai, hạch toán liên quan.</w:t>
      </w:r>
    </w:p>
    <w:p>
      <w:pPr>
        <w:spacing w:after="100"/>
        <w:ind w:left="340"/>
      </w:pPr>
      <w:r>
        <w:rPr>
          <w:rFonts w:ascii="Times New Roman" w:hAnsi="Times New Roman" w:eastAsia="Times New Roman"/>
          <w:b w:val="0"/>
          <w:i/>
          <w:sz w:val="21"/>
        </w:rPr>
        <w:t>Năng lực kiểm tra: Tự chủ tài chính + chi thu nhập | Độ khó: Khó</w:t>
      </w:r>
    </w:p>
    <w:p>
      <w:pPr>
        <w:spacing w:before="80" w:after="40"/>
      </w:pPr>
      <w:r>
        <w:rPr>
          <w:rFonts w:ascii="Times New Roman" w:hAnsi="Times New Roman" w:eastAsia="Times New Roman"/>
          <w:b/>
          <w:sz w:val="25"/>
        </w:rPr>
        <w:t xml:space="preserve">Câu 9. </w:t>
      </w:r>
      <w:r>
        <w:rPr>
          <w:rFonts w:ascii="Times New Roman" w:hAnsi="Times New Roman" w:eastAsia="Times New Roman"/>
          <w:sz w:val="25"/>
        </w:rPr>
        <w:t>Một doanh nghiệp tài trợ toàn bộ thiết bị cho phòng thí nghiệm của trường nhưng yêu cầu được quyền sử dụng độc quyền phòng thí nghiệm trong một số khung giờ và gắn thương hiệu dài hạn. Hãy xác định các vấn đề pháp lý cần kiểm tra trước khi nhà trường chấp thuận.</w:t>
      </w:r>
    </w:p>
    <w:p>
      <w:pPr>
        <w:spacing w:after="100"/>
        <w:ind w:left="340"/>
      </w:pPr>
      <w:r>
        <w:rPr>
          <w:rFonts w:ascii="Times New Roman" w:hAnsi="Times New Roman" w:eastAsia="Times New Roman"/>
          <w:b w:val="0"/>
          <w:i/>
          <w:sz w:val="21"/>
        </w:rPr>
        <w:t>Năng lực kiểm tra: Tài trợ + tài sản + xung đột lợi ích | Độ khó: Khó</w:t>
      </w:r>
    </w:p>
    <w:p>
      <w:pPr>
        <w:pStyle w:val="Heading2"/>
      </w:pPr>
      <w:r>
        <w:t>Tổ chức - nhân sự</w:t>
      </w:r>
    </w:p>
    <w:p>
      <w:pPr>
        <w:spacing w:before="80" w:after="40"/>
      </w:pPr>
      <w:r>
        <w:rPr>
          <w:rFonts w:ascii="Times New Roman" w:hAnsi="Times New Roman" w:eastAsia="Times New Roman"/>
          <w:b/>
          <w:sz w:val="25"/>
        </w:rPr>
        <w:t xml:space="preserve">Câu 10. </w:t>
      </w:r>
      <w:r>
        <w:rPr>
          <w:rFonts w:ascii="Times New Roman" w:hAnsi="Times New Roman" w:eastAsia="Times New Roman"/>
          <w:sz w:val="25"/>
        </w:rPr>
        <w:t>Tháng 8/2026, một trường đại học công lập tuyển mới giảng viên vào vị trí việc làm chuyên môn. Hãy xác định quy định hiện hành về tuyển dụng viên chức, loại hợp đồng làm việc, điều kiện tuyển và thẩm quyền ký; đồng thời chỉ ra các quy định cũ không còn được áp dụng nếu có.</w:t>
      </w:r>
    </w:p>
    <w:p>
      <w:pPr>
        <w:spacing w:after="100"/>
        <w:ind w:left="340"/>
      </w:pPr>
      <w:r>
        <w:rPr>
          <w:rFonts w:ascii="Times New Roman" w:hAnsi="Times New Roman" w:eastAsia="Times New Roman"/>
          <w:b w:val="0"/>
          <w:i/>
          <w:sz w:val="21"/>
        </w:rPr>
        <w:t>Năng lực kiểm tra: Luật mới + tuyển dụng | Độ khó: Khó</w:t>
      </w:r>
    </w:p>
    <w:p>
      <w:pPr>
        <w:spacing w:before="80" w:after="40"/>
      </w:pPr>
      <w:r>
        <w:rPr>
          <w:rFonts w:ascii="Times New Roman" w:hAnsi="Times New Roman" w:eastAsia="Times New Roman"/>
          <w:b/>
          <w:sz w:val="25"/>
        </w:rPr>
        <w:t xml:space="preserve">Câu 11. </w:t>
      </w:r>
      <w:r>
        <w:rPr>
          <w:rFonts w:ascii="Times New Roman" w:hAnsi="Times New Roman" w:eastAsia="Times New Roman"/>
          <w:sz w:val="25"/>
        </w:rPr>
        <w:t>Một viên chức giảng dạy bị đánh giá không hoàn thành nhiệm vụ trong nhiều kỳ liên tiếp. Nhà trường có thể đơn phương chấm dứt hợp đồng hoặc xử lý kỷ luật không? Hãy xác định điều kiện, trình tự, quyền của viên chức và các trường hợp phải thận trọng.</w:t>
      </w:r>
    </w:p>
    <w:p>
      <w:pPr>
        <w:spacing w:after="100"/>
        <w:ind w:left="340"/>
      </w:pPr>
      <w:r>
        <w:rPr>
          <w:rFonts w:ascii="Times New Roman" w:hAnsi="Times New Roman" w:eastAsia="Times New Roman"/>
          <w:b w:val="0"/>
          <w:i/>
          <w:sz w:val="21"/>
        </w:rPr>
        <w:t>Năng lực kiểm tra: Kỷ luật/đơn phương chấm dứt | Độ khó: Khó</w:t>
      </w:r>
    </w:p>
    <w:p>
      <w:pPr>
        <w:spacing w:before="80" w:after="40"/>
      </w:pPr>
      <w:r>
        <w:rPr>
          <w:rFonts w:ascii="Times New Roman" w:hAnsi="Times New Roman" w:eastAsia="Times New Roman"/>
          <w:b/>
          <w:sz w:val="25"/>
        </w:rPr>
        <w:t xml:space="preserve">Câu 12. </w:t>
      </w:r>
      <w:r>
        <w:rPr>
          <w:rFonts w:ascii="Times New Roman" w:hAnsi="Times New Roman" w:eastAsia="Times New Roman"/>
          <w:sz w:val="25"/>
        </w:rPr>
        <w:t>Một giảng viên là viên chức muốn góp vốn và tham gia điều hành doanh nghiệp được thành lập để thương mại hóa kết quả nghiên cứu do chính mình tham gia tạo ra. Hãy xác định các giới hạn pháp lý về viên chức, phòng chống xung đột lợi ích, sở hữu trí tuệ và thương mại hóa kết quả nghiên cứu.</w:t>
      </w:r>
    </w:p>
    <w:p>
      <w:pPr>
        <w:spacing w:after="100"/>
        <w:ind w:left="340"/>
      </w:pPr>
      <w:r>
        <w:rPr>
          <w:rFonts w:ascii="Times New Roman" w:hAnsi="Times New Roman" w:eastAsia="Times New Roman"/>
          <w:b w:val="0"/>
          <w:i/>
          <w:sz w:val="21"/>
        </w:rPr>
        <w:t>Năng lực kiểm tra: Xung đột lợi ích + thương mại hóa | Độ khó: Khó</w:t>
      </w:r>
    </w:p>
    <w:p>
      <w:pPr>
        <w:spacing w:before="80" w:after="40"/>
      </w:pPr>
      <w:r>
        <w:rPr>
          <w:rFonts w:ascii="Times New Roman" w:hAnsi="Times New Roman" w:eastAsia="Times New Roman"/>
          <w:b/>
          <w:sz w:val="25"/>
        </w:rPr>
        <w:t xml:space="preserve">Câu 13. </w:t>
      </w:r>
      <w:r>
        <w:rPr>
          <w:rFonts w:ascii="Times New Roman" w:hAnsi="Times New Roman" w:eastAsia="Times New Roman"/>
          <w:sz w:val="25"/>
        </w:rPr>
        <w:t>Nhà trường cử một viên chức đi đào tạo dài hạn ở nước ngoài bằng kinh phí của đơn vị, có cam kết quay về phục vụ. Sau khi hoàn thành khóa học, người này không trở lại làm việc. Hãy xác định cơ sở pháp lý về trách nhiệm hoàn trả chi phí, xử lý hợp đồng và các bước nhà trường có thể thực hiện.</w:t>
      </w:r>
    </w:p>
    <w:p>
      <w:pPr>
        <w:spacing w:after="100"/>
        <w:ind w:left="340"/>
      </w:pPr>
      <w:r>
        <w:rPr>
          <w:rFonts w:ascii="Times New Roman" w:hAnsi="Times New Roman" w:eastAsia="Times New Roman"/>
          <w:b w:val="0"/>
          <w:i/>
          <w:sz w:val="21"/>
        </w:rPr>
        <w:t>Năng lực kiểm tra: Đào tạo/bồi dưỡng + trách nhiệm hoàn trả | Độ khó: Trung bình - Khó</w:t>
      </w:r>
    </w:p>
    <w:p>
      <w:pPr>
        <w:pStyle w:val="Heading2"/>
      </w:pPr>
      <w:r>
        <w:t>Nghiên cứu khoa học</w:t>
      </w:r>
    </w:p>
    <w:p>
      <w:pPr>
        <w:spacing w:before="80" w:after="40"/>
      </w:pPr>
      <w:r>
        <w:rPr>
          <w:rFonts w:ascii="Times New Roman" w:hAnsi="Times New Roman" w:eastAsia="Times New Roman"/>
          <w:b/>
          <w:sz w:val="25"/>
        </w:rPr>
        <w:t xml:space="preserve">Câu 14. </w:t>
      </w:r>
      <w:r>
        <w:rPr>
          <w:rFonts w:ascii="Times New Roman" w:hAnsi="Times New Roman" w:eastAsia="Times New Roman"/>
          <w:sz w:val="25"/>
        </w:rPr>
        <w:t>Một nhóm giảng viên đề xuất nhiệm vụ nghiên cứu sử dụng ngân sách nhà nước. Hãy xác định quy trình pháp lý chính từ tuyển chọn/giao trực tiếp, ký hợp đồng, tổ chức thực hiện, đánh giá nghiệm thu đến xử lý kết quả theo pháp luật hiện hành về khoa học, công nghệ và đổi mới sáng tạo.</w:t>
      </w:r>
    </w:p>
    <w:p>
      <w:pPr>
        <w:spacing w:after="100"/>
        <w:ind w:left="340"/>
      </w:pPr>
      <w:r>
        <w:rPr>
          <w:rFonts w:ascii="Times New Roman" w:hAnsi="Times New Roman" w:eastAsia="Times New Roman"/>
          <w:b w:val="0"/>
          <w:i/>
          <w:sz w:val="21"/>
        </w:rPr>
        <w:t>Năng lực kiểm tra: Nhiệm vụ KH-CN + quản trị | Độ khó: Khó</w:t>
      </w:r>
    </w:p>
    <w:p>
      <w:pPr>
        <w:spacing w:before="80" w:after="40"/>
      </w:pPr>
      <w:r>
        <w:rPr>
          <w:rFonts w:ascii="Times New Roman" w:hAnsi="Times New Roman" w:eastAsia="Times New Roman"/>
          <w:b/>
          <w:sz w:val="25"/>
        </w:rPr>
        <w:t xml:space="preserve">Câu 15. </w:t>
      </w:r>
      <w:r>
        <w:rPr>
          <w:rFonts w:ascii="Times New Roman" w:hAnsi="Times New Roman" w:eastAsia="Times New Roman"/>
          <w:sz w:val="25"/>
        </w:rPr>
        <w:t>Một đề tài sử dụng ngân sách nhà nước tạo ra sáng chế và phần mềm có khả năng thương mại hóa. Ai có quyền đăng ký, ai là chủ sở hữu hoặc được giao quyền quản lý/khai thác, và lợi ích giữa Nhà nước, trường và tác giả được xử lý theo những quy định nào?</w:t>
      </w:r>
    </w:p>
    <w:p>
      <w:pPr>
        <w:spacing w:after="100"/>
        <w:ind w:left="340"/>
      </w:pPr>
      <w:r>
        <w:rPr>
          <w:rFonts w:ascii="Times New Roman" w:hAnsi="Times New Roman" w:eastAsia="Times New Roman"/>
          <w:b w:val="0"/>
          <w:i/>
          <w:sz w:val="21"/>
        </w:rPr>
        <w:t>Năng lực kiểm tra: Quyền sở hữu + đăng ký | Độ khó: Rất khó</w:t>
      </w:r>
    </w:p>
    <w:p>
      <w:pPr>
        <w:spacing w:before="80" w:after="40"/>
      </w:pPr>
      <w:r>
        <w:rPr>
          <w:rFonts w:ascii="Times New Roman" w:hAnsi="Times New Roman" w:eastAsia="Times New Roman"/>
          <w:b/>
          <w:sz w:val="25"/>
        </w:rPr>
        <w:t xml:space="preserve">Câu 16. </w:t>
      </w:r>
      <w:r>
        <w:rPr>
          <w:rFonts w:ascii="Times New Roman" w:hAnsi="Times New Roman" w:eastAsia="Times New Roman"/>
          <w:sz w:val="25"/>
        </w:rPr>
        <w:t>Đề tài nghiên cứu cần mua gấp hóa chất, dữ liệu và thiết bị chuyên dụng để không làm gián đoạn thí nghiệm. Hãy xác định cơ chế tài chính, mua sắm/đấu thầu và các quy định đặc thù hiện hành đối với nhiệm vụ khoa học, công nghệ và đổi mới sáng tạo; nêu rõ khi nào được áp dụng cơ chế đặc thù và khi nào vẫn phải theo quy định chung.</w:t>
      </w:r>
    </w:p>
    <w:p>
      <w:pPr>
        <w:spacing w:after="100"/>
        <w:ind w:left="340"/>
      </w:pPr>
      <w:r>
        <w:rPr>
          <w:rFonts w:ascii="Times New Roman" w:hAnsi="Times New Roman" w:eastAsia="Times New Roman"/>
          <w:b w:val="0"/>
          <w:i/>
          <w:sz w:val="21"/>
        </w:rPr>
        <w:t>Năng lực kiểm tra: Cơ chế tài chính đặc thù | Độ khó: Rất khó</w:t>
      </w:r>
    </w:p>
    <w:p>
      <w:pPr>
        <w:spacing w:before="80" w:after="40"/>
      </w:pPr>
      <w:r>
        <w:rPr>
          <w:rFonts w:ascii="Times New Roman" w:hAnsi="Times New Roman" w:eastAsia="Times New Roman"/>
          <w:b/>
          <w:sz w:val="25"/>
        </w:rPr>
        <w:t xml:space="preserve">Câu 17. </w:t>
      </w:r>
      <w:r>
        <w:rPr>
          <w:rFonts w:ascii="Times New Roman" w:hAnsi="Times New Roman" w:eastAsia="Times New Roman"/>
          <w:sz w:val="25"/>
        </w:rPr>
        <w:t>Trường muốn chuyển giao một kết quả nghiên cứu cho doanh nghiệp spin-off do nhóm tác giả thành lập. Hãy xác định các yêu cầu về định giá, quyền sở hữu trí tuệ, quyền quyết định chuyển giao, xử lý phần vốn/tài sản của Nhà nước và phân chia lợi ích.</w:t>
      </w:r>
    </w:p>
    <w:p>
      <w:pPr>
        <w:spacing w:after="100"/>
        <w:ind w:left="340"/>
      </w:pPr>
      <w:r>
        <w:rPr>
          <w:rFonts w:ascii="Times New Roman" w:hAnsi="Times New Roman" w:eastAsia="Times New Roman"/>
          <w:b w:val="0"/>
          <w:i/>
          <w:sz w:val="21"/>
        </w:rPr>
        <w:t>Năng lực kiểm tra: Định giá + chuyển giao + tài sản công | Độ khó: Rất khó</w:t>
      </w:r>
    </w:p>
    <w:p>
      <w:pPr>
        <w:pStyle w:val="Heading2"/>
      </w:pPr>
      <w:r>
        <w:t>Quản trị</w:t>
      </w:r>
    </w:p>
    <w:p>
      <w:pPr>
        <w:spacing w:before="80" w:after="40"/>
      </w:pPr>
      <w:r>
        <w:rPr>
          <w:rFonts w:ascii="Times New Roman" w:hAnsi="Times New Roman" w:eastAsia="Times New Roman"/>
          <w:b/>
          <w:sz w:val="25"/>
        </w:rPr>
        <w:t xml:space="preserve">Câu 18. </w:t>
      </w:r>
      <w:r>
        <w:rPr>
          <w:rFonts w:ascii="Times New Roman" w:hAnsi="Times New Roman" w:eastAsia="Times New Roman"/>
          <w:sz w:val="25"/>
        </w:rPr>
        <w:t>Nhà trường triển khai ứng dụng sinh viên có thu thập ảnh khuôn mặt, thông tin định danh, kết quả học tập và dữ liệu tài chính để điểm danh, xác thực và cung cấp dịch vụ. Hãy xác định các nghĩa vụ pháp lý về xử lý dữ liệu cá nhân, căn cứ xử lý, thông báo/đồng ý, bảo mật, lưu trữ và quyền của người học.</w:t>
      </w:r>
    </w:p>
    <w:p>
      <w:pPr>
        <w:spacing w:after="100"/>
        <w:ind w:left="340"/>
      </w:pPr>
      <w:r>
        <w:rPr>
          <w:rFonts w:ascii="Times New Roman" w:hAnsi="Times New Roman" w:eastAsia="Times New Roman"/>
          <w:b w:val="0"/>
          <w:i/>
          <w:sz w:val="21"/>
        </w:rPr>
        <w:t>Năng lực kiểm tra: Dữ liệu cá nhân + tuân thủ | Độ khó: Khó</w:t>
      </w:r>
    </w:p>
    <w:p>
      <w:pPr>
        <w:spacing w:before="80" w:after="40"/>
      </w:pPr>
      <w:r>
        <w:rPr>
          <w:rFonts w:ascii="Times New Roman" w:hAnsi="Times New Roman" w:eastAsia="Times New Roman"/>
          <w:b/>
          <w:sz w:val="25"/>
        </w:rPr>
        <w:t xml:space="preserve">Câu 19. </w:t>
      </w:r>
      <w:r>
        <w:rPr>
          <w:rFonts w:ascii="Times New Roman" w:hAnsi="Times New Roman" w:eastAsia="Times New Roman"/>
          <w:sz w:val="25"/>
        </w:rPr>
        <w:t>Một quy định nội bộ của trường phù hợp với quy định của cơ quan chủ quản nhưng có dấu hiệu khác với một Thông tư của Bộ hoặc một Nghị định của Chính phủ. Hệ thống phải xác định văn bản nào được ưu tiên, cách xử lý khi có xung đột và trường hợp nào cần xem xét thẩm quyền riêng của cơ sở giáo dục đại học tự chủ.</w:t>
      </w:r>
    </w:p>
    <w:p>
      <w:pPr>
        <w:spacing w:after="100"/>
        <w:ind w:left="340"/>
      </w:pPr>
      <w:r>
        <w:rPr>
          <w:rFonts w:ascii="Times New Roman" w:hAnsi="Times New Roman" w:eastAsia="Times New Roman"/>
          <w:b w:val="0"/>
          <w:i/>
          <w:sz w:val="21"/>
        </w:rPr>
        <w:t>Năng lực kiểm tra: Xử lý xung đột văn bản | Độ khó: Rất khó</w:t>
      </w:r>
    </w:p>
    <w:p>
      <w:pPr>
        <w:spacing w:before="80" w:after="40"/>
      </w:pPr>
      <w:r>
        <w:rPr>
          <w:rFonts w:ascii="Times New Roman" w:hAnsi="Times New Roman" w:eastAsia="Times New Roman"/>
          <w:b/>
          <w:sz w:val="25"/>
        </w:rPr>
        <w:t xml:space="preserve">Câu 20. </w:t>
      </w:r>
      <w:r>
        <w:rPr>
          <w:rFonts w:ascii="Times New Roman" w:hAnsi="Times New Roman" w:eastAsia="Times New Roman"/>
          <w:sz w:val="25"/>
        </w:rPr>
        <w:t>Một sinh viên khiếu nại quyết định liên quan đến tuyển sinh hoặc kết quả học tập; đồng thời gửi phản ánh cho rằng cán bộ có hành vi vi phạm pháp luật. Hãy phân biệt khiếu nại, tố cáo và kiến nghị/phản ánh; xác định thẩm quyền, trình tự, thời hạn giải quyết và con đường tiếp theo nếu người học không đồng ý với kết quả giải quyết.</w:t>
      </w:r>
    </w:p>
    <w:p>
      <w:pPr>
        <w:spacing w:after="100"/>
        <w:ind w:left="340"/>
      </w:pPr>
      <w:r>
        <w:rPr>
          <w:rFonts w:ascii="Times New Roman" w:hAnsi="Times New Roman" w:eastAsia="Times New Roman"/>
          <w:b w:val="0"/>
          <w:i/>
          <w:sz w:val="21"/>
        </w:rPr>
        <w:t>Năng lực kiểm tra: Thẩm quyền + thời hạn + thủ tục | Độ khó: Khó</w:t>
      </w:r>
    </w:p>
    <w:p>
      <w:r>
        <w:br w:type="page"/>
      </w:r>
    </w:p>
    <w:p>
      <w:pPr>
        <w:pStyle w:val="Heading1"/>
      </w:pPr>
      <w:r>
        <w:t>4. Thang điểm gợi ý để đánh giá hệ thống</w:t>
      </w:r>
    </w:p>
    <w:p>
      <w:r>
        <w:rPr>
          <w:rFonts w:ascii="Times New Roman" w:hAnsi="Times New Roman" w:eastAsia="Times New Roman"/>
          <w:sz w:val="24"/>
        </w:rPr>
        <w:t>Có thể chấm mỗi câu theo thang 10 điểm. Tổng điểm toàn bộ benchmark: 200 điểm. Thang điểm này đánh giá cả retrieval lẫn reasoning, tránh trường hợp hệ thống trả lời nghe hợp lý nhưng dẫn sai văn bản.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324"/>
            <w:shd w:fill="D9EAF7"/>
            <w:vAlign w:val="center"/>
          </w:tcPr>
          <w:p>
            <w:pPr>
              <w:jc w:val="center"/>
            </w:pPr>
            <w:r>
              <w:rPr>
                <w:rFonts w:ascii="Times New Roman" w:hAnsi="Times New Roman" w:eastAsia="Times New Roman"/>
                <w:b/>
                <w:sz w:val="21"/>
              </w:rPr>
              <w:t>Tiêu chí</w:t>
            </w:r>
          </w:p>
        </w:tc>
        <w:tc>
          <w:tcPr>
            <w:tcW w:type="dxa" w:w="1247"/>
            <w:shd w:fill="D9EAF7"/>
            <w:vAlign w:val="center"/>
          </w:tcPr>
          <w:p>
            <w:pPr>
              <w:jc w:val="center"/>
            </w:pPr>
            <w:r>
              <w:rPr>
                <w:rFonts w:ascii="Times New Roman" w:hAnsi="Times New Roman" w:eastAsia="Times New Roman"/>
                <w:b/>
                <w:sz w:val="21"/>
              </w:rPr>
              <w:t>Điểm tối đa</w:t>
            </w:r>
          </w:p>
        </w:tc>
        <w:tc>
          <w:tcPr>
            <w:tcW w:type="dxa" w:w="3402"/>
            <w:shd w:fill="D9EAF7"/>
            <w:vAlign w:val="center"/>
          </w:tcPr>
          <w:p>
            <w:pPr>
              <w:jc w:val="center"/>
            </w:pPr>
            <w:r>
              <w:rPr>
                <w:rFonts w:ascii="Times New Roman" w:hAnsi="Times New Roman" w:eastAsia="Times New Roman"/>
                <w:b/>
                <w:sz w:val="21"/>
              </w:rPr>
              <w:t>Yêu cầu đạt</w:t>
            </w:r>
          </w:p>
        </w:tc>
        <w:tc>
          <w:tcPr>
            <w:tcW w:type="dxa" w:w="2948"/>
            <w:shd w:fill="D9EAF7"/>
            <w:vAlign w:val="center"/>
          </w:tcPr>
          <w:p>
            <w:pPr>
              <w:jc w:val="center"/>
            </w:pPr>
            <w:r>
              <w:rPr>
                <w:rFonts w:ascii="Times New Roman" w:hAnsi="Times New Roman" w:eastAsia="Times New Roman"/>
                <w:b/>
                <w:sz w:val="21"/>
              </w:rPr>
              <w:t>Lỗi nghiêm trọng</w:t>
            </w:r>
          </w:p>
        </w:tc>
      </w:tr>
      <w:tr>
        <w:tc>
          <w:tcPr>
            <w:tcW w:type="dxa" w:w="2324"/>
            <w:tcMar>
              <w:top w:w="80" w:type="dxa"/>
              <w:start w:w="90" w:type="dxa"/>
              <w:bottom w:w="80" w:type="dxa"/>
              <w:end w:w="90" w:type="dxa"/>
            </w:tcMar>
            <w:vAlign w:val="top"/>
          </w:tcPr>
          <w:p>
            <w:pPr>
              <w:spacing w:after="0"/>
            </w:pPr>
            <w:r>
              <w:rPr>
                <w:rFonts w:ascii="Times New Roman" w:hAnsi="Times New Roman" w:eastAsia="Times New Roman"/>
                <w:sz w:val="21"/>
              </w:rPr>
              <w:t>1. Truy xuất đúng văn bản</w:t>
            </w:r>
          </w:p>
        </w:tc>
        <w:tc>
          <w:tcPr>
            <w:tcW w:type="dxa" w:w="1247"/>
            <w:tcMar>
              <w:top w:w="80" w:type="dxa"/>
              <w:start w:w="90" w:type="dxa"/>
              <w:bottom w:w="80" w:type="dxa"/>
              <w:end w:w="90" w:type="dxa"/>
            </w:tcMar>
            <w:vAlign w:val="top"/>
          </w:tcPr>
          <w:p>
            <w:pPr>
              <w:spacing w:after="0"/>
              <w:jc w:val="center"/>
            </w:pPr>
            <w:r>
              <w:rPr>
                <w:rFonts w:ascii="Times New Roman" w:hAnsi="Times New Roman" w:eastAsia="Times New Roman"/>
                <w:sz w:val="21"/>
              </w:rPr>
              <w:t>2</w:t>
            </w:r>
          </w:p>
        </w:tc>
        <w:tc>
          <w:tcPr>
            <w:tcW w:type="dxa" w:w="3402"/>
            <w:tcMar>
              <w:top w:w="80" w:type="dxa"/>
              <w:start w:w="90" w:type="dxa"/>
              <w:bottom w:w="80" w:type="dxa"/>
              <w:end w:w="90" w:type="dxa"/>
            </w:tcMar>
            <w:vAlign w:val="top"/>
          </w:tcPr>
          <w:p>
            <w:pPr>
              <w:spacing w:after="0"/>
            </w:pPr>
            <w:r>
              <w:rPr>
                <w:rFonts w:ascii="Times New Roman" w:hAnsi="Times New Roman" w:eastAsia="Times New Roman"/>
                <w:sz w:val="21"/>
              </w:rPr>
              <w:t>Tìm đúng nhóm văn bản trực tiếp điều chỉnh tình huống.</w:t>
            </w:r>
          </w:p>
        </w:tc>
        <w:tc>
          <w:tcPr>
            <w:tcW w:type="dxa" w:w="2948"/>
            <w:tcMar>
              <w:top w:w="80" w:type="dxa"/>
              <w:start w:w="90" w:type="dxa"/>
              <w:bottom w:w="80" w:type="dxa"/>
              <w:end w:w="90" w:type="dxa"/>
            </w:tcMar>
            <w:vAlign w:val="top"/>
          </w:tcPr>
          <w:p>
            <w:pPr>
              <w:spacing w:after="0"/>
            </w:pPr>
            <w:r>
              <w:rPr>
                <w:rFonts w:ascii="Times New Roman" w:hAnsi="Times New Roman" w:eastAsia="Times New Roman"/>
                <w:sz w:val="21"/>
              </w:rPr>
              <w:t>Dẫn văn bản không liên quan hoặc bỏ sót văn bản nền tảng.</w:t>
            </w:r>
          </w:p>
        </w:tc>
      </w:tr>
      <w:tr>
        <w:tc>
          <w:tcPr>
            <w:tcW w:type="dxa" w:w="2324"/>
            <w:tcMar>
              <w:top w:w="80" w:type="dxa"/>
              <w:start w:w="90" w:type="dxa"/>
              <w:bottom w:w="80" w:type="dxa"/>
              <w:end w:w="90" w:type="dxa"/>
            </w:tcMar>
            <w:vAlign w:val="top"/>
          </w:tcPr>
          <w:p>
            <w:pPr>
              <w:spacing w:after="0"/>
            </w:pPr>
            <w:r>
              <w:rPr>
                <w:rFonts w:ascii="Times New Roman" w:hAnsi="Times New Roman" w:eastAsia="Times New Roman"/>
                <w:sz w:val="21"/>
              </w:rPr>
              <w:t>2. Kiểm tra hiệu lực</w:t>
            </w:r>
          </w:p>
        </w:tc>
        <w:tc>
          <w:tcPr>
            <w:tcW w:type="dxa" w:w="1247"/>
            <w:tcMar>
              <w:top w:w="80" w:type="dxa"/>
              <w:start w:w="90" w:type="dxa"/>
              <w:bottom w:w="80" w:type="dxa"/>
              <w:end w:w="90" w:type="dxa"/>
            </w:tcMar>
            <w:vAlign w:val="top"/>
          </w:tcPr>
          <w:p>
            <w:pPr>
              <w:spacing w:after="0"/>
              <w:jc w:val="center"/>
            </w:pPr>
            <w:r>
              <w:rPr>
                <w:rFonts w:ascii="Times New Roman" w:hAnsi="Times New Roman" w:eastAsia="Times New Roman"/>
                <w:sz w:val="21"/>
              </w:rPr>
              <w:t>2</w:t>
            </w:r>
          </w:p>
        </w:tc>
        <w:tc>
          <w:tcPr>
            <w:tcW w:type="dxa" w:w="3402"/>
            <w:tcMar>
              <w:top w:w="80" w:type="dxa"/>
              <w:start w:w="90" w:type="dxa"/>
              <w:bottom w:w="80" w:type="dxa"/>
              <w:end w:w="90" w:type="dxa"/>
            </w:tcMar>
            <w:vAlign w:val="top"/>
          </w:tcPr>
          <w:p>
            <w:pPr>
              <w:spacing w:after="0"/>
            </w:pPr>
            <w:r>
              <w:rPr>
                <w:rFonts w:ascii="Times New Roman" w:hAnsi="Times New Roman" w:eastAsia="Times New Roman"/>
                <w:sz w:val="21"/>
              </w:rPr>
              <w:t>Nhận diện sửa đổi, thay thế, bãi bỏ, chuyển tiếp và thời điểm áp dụng.</w:t>
            </w:r>
          </w:p>
        </w:tc>
        <w:tc>
          <w:tcPr>
            <w:tcW w:type="dxa" w:w="2948"/>
            <w:tcMar>
              <w:top w:w="80" w:type="dxa"/>
              <w:start w:w="90" w:type="dxa"/>
              <w:bottom w:w="80" w:type="dxa"/>
              <w:end w:w="90" w:type="dxa"/>
            </w:tcMar>
            <w:vAlign w:val="top"/>
          </w:tcPr>
          <w:p>
            <w:pPr>
              <w:spacing w:after="0"/>
            </w:pPr>
            <w:r>
              <w:rPr>
                <w:rFonts w:ascii="Times New Roman" w:hAnsi="Times New Roman" w:eastAsia="Times New Roman"/>
                <w:sz w:val="21"/>
              </w:rPr>
              <w:t>Dùng văn bản hết hiệu lực như căn cứ chính.</w:t>
            </w:r>
          </w:p>
        </w:tc>
      </w:tr>
      <w:tr>
        <w:tc>
          <w:tcPr>
            <w:tcW w:type="dxa" w:w="2324"/>
            <w:tcMar>
              <w:top w:w="80" w:type="dxa"/>
              <w:start w:w="90" w:type="dxa"/>
              <w:bottom w:w="80" w:type="dxa"/>
              <w:end w:w="90" w:type="dxa"/>
            </w:tcMar>
            <w:vAlign w:val="top"/>
          </w:tcPr>
          <w:p>
            <w:pPr>
              <w:spacing w:after="0"/>
            </w:pPr>
            <w:r>
              <w:rPr>
                <w:rFonts w:ascii="Times New Roman" w:hAnsi="Times New Roman" w:eastAsia="Times New Roman"/>
                <w:sz w:val="21"/>
              </w:rPr>
              <w:t>3. Áp dụng vào tình huống</w:t>
            </w:r>
          </w:p>
        </w:tc>
        <w:tc>
          <w:tcPr>
            <w:tcW w:type="dxa" w:w="1247"/>
            <w:tcMar>
              <w:top w:w="80" w:type="dxa"/>
              <w:start w:w="90" w:type="dxa"/>
              <w:bottom w:w="80" w:type="dxa"/>
              <w:end w:w="90" w:type="dxa"/>
            </w:tcMar>
            <w:vAlign w:val="top"/>
          </w:tcPr>
          <w:p>
            <w:pPr>
              <w:spacing w:after="0"/>
              <w:jc w:val="center"/>
            </w:pPr>
            <w:r>
              <w:rPr>
                <w:rFonts w:ascii="Times New Roman" w:hAnsi="Times New Roman" w:eastAsia="Times New Roman"/>
                <w:sz w:val="21"/>
              </w:rPr>
              <w:t>3</w:t>
            </w:r>
          </w:p>
        </w:tc>
        <w:tc>
          <w:tcPr>
            <w:tcW w:type="dxa" w:w="3402"/>
            <w:tcMar>
              <w:top w:w="80" w:type="dxa"/>
              <w:start w:w="90" w:type="dxa"/>
              <w:bottom w:w="80" w:type="dxa"/>
              <w:end w:w="90" w:type="dxa"/>
            </w:tcMar>
            <w:vAlign w:val="top"/>
          </w:tcPr>
          <w:p>
            <w:pPr>
              <w:spacing w:after="0"/>
            </w:pPr>
            <w:r>
              <w:rPr>
                <w:rFonts w:ascii="Times New Roman" w:hAnsi="Times New Roman" w:eastAsia="Times New Roman"/>
                <w:sz w:val="21"/>
              </w:rPr>
              <w:t>Phân tích điều kiện, thẩm quyền, ngoại lệ và đưa ra kết luận có điều kiện hợp lý.</w:t>
            </w:r>
          </w:p>
        </w:tc>
        <w:tc>
          <w:tcPr>
            <w:tcW w:type="dxa" w:w="2948"/>
            <w:tcMar>
              <w:top w:w="80" w:type="dxa"/>
              <w:start w:w="90" w:type="dxa"/>
              <w:bottom w:w="80" w:type="dxa"/>
              <w:end w:w="90" w:type="dxa"/>
            </w:tcMar>
            <w:vAlign w:val="top"/>
          </w:tcPr>
          <w:p>
            <w:pPr>
              <w:spacing w:after="0"/>
            </w:pPr>
            <w:r>
              <w:rPr>
                <w:rFonts w:ascii="Times New Roman" w:hAnsi="Times New Roman" w:eastAsia="Times New Roman"/>
                <w:sz w:val="21"/>
              </w:rPr>
              <w:t>Suy diễn vượt quy định hoặc kết luận tuyệt đối khi thiếu dữ kiện.</w:t>
            </w:r>
          </w:p>
        </w:tc>
      </w:tr>
      <w:tr>
        <w:tc>
          <w:tcPr>
            <w:tcW w:type="dxa" w:w="2324"/>
            <w:tcMar>
              <w:top w:w="80" w:type="dxa"/>
              <w:start w:w="90" w:type="dxa"/>
              <w:bottom w:w="80" w:type="dxa"/>
              <w:end w:w="90" w:type="dxa"/>
            </w:tcMar>
            <w:vAlign w:val="top"/>
          </w:tcPr>
          <w:p>
            <w:pPr>
              <w:spacing w:after="0"/>
            </w:pPr>
            <w:r>
              <w:rPr>
                <w:rFonts w:ascii="Times New Roman" w:hAnsi="Times New Roman" w:eastAsia="Times New Roman"/>
                <w:sz w:val="21"/>
              </w:rPr>
              <w:t>4. Trích dẫn &amp; provenance</w:t>
            </w:r>
          </w:p>
        </w:tc>
        <w:tc>
          <w:tcPr>
            <w:tcW w:type="dxa" w:w="1247"/>
            <w:tcMar>
              <w:top w:w="80" w:type="dxa"/>
              <w:start w:w="90" w:type="dxa"/>
              <w:bottom w:w="80" w:type="dxa"/>
              <w:end w:w="90" w:type="dxa"/>
            </w:tcMar>
            <w:vAlign w:val="top"/>
          </w:tcPr>
          <w:p>
            <w:pPr>
              <w:spacing w:after="0"/>
              <w:jc w:val="center"/>
            </w:pPr>
            <w:r>
              <w:rPr>
                <w:rFonts w:ascii="Times New Roman" w:hAnsi="Times New Roman" w:eastAsia="Times New Roman"/>
                <w:sz w:val="21"/>
              </w:rPr>
              <w:t>2</w:t>
            </w:r>
          </w:p>
        </w:tc>
        <w:tc>
          <w:tcPr>
            <w:tcW w:type="dxa" w:w="3402"/>
            <w:tcMar>
              <w:top w:w="80" w:type="dxa"/>
              <w:start w:w="90" w:type="dxa"/>
              <w:bottom w:w="80" w:type="dxa"/>
              <w:end w:w="90" w:type="dxa"/>
            </w:tcMar>
            <w:vAlign w:val="top"/>
          </w:tcPr>
          <w:p>
            <w:pPr>
              <w:spacing w:after="0"/>
            </w:pPr>
            <w:r>
              <w:rPr>
                <w:rFonts w:ascii="Times New Roman" w:hAnsi="Times New Roman" w:eastAsia="Times New Roman"/>
                <w:sz w:val="21"/>
              </w:rPr>
              <w:t>Nêu số/ký hiệu, điều/khoản hoặc phần nội dung và nguồn chính thức.</w:t>
            </w:r>
          </w:p>
        </w:tc>
        <w:tc>
          <w:tcPr>
            <w:tcW w:type="dxa" w:w="2948"/>
            <w:tcMar>
              <w:top w:w="80" w:type="dxa"/>
              <w:start w:w="90" w:type="dxa"/>
              <w:bottom w:w="80" w:type="dxa"/>
              <w:end w:w="90" w:type="dxa"/>
            </w:tcMar>
            <w:vAlign w:val="top"/>
          </w:tcPr>
          <w:p>
            <w:pPr>
              <w:spacing w:after="0"/>
            </w:pPr>
            <w:r>
              <w:rPr>
                <w:rFonts w:ascii="Times New Roman" w:hAnsi="Times New Roman" w:eastAsia="Times New Roman"/>
                <w:sz w:val="21"/>
              </w:rPr>
              <w:t>Không chỉ ra căn cứ hoặc trích dẫn không kiểm chứng được.</w:t>
            </w:r>
          </w:p>
        </w:tc>
      </w:tr>
      <w:tr>
        <w:tc>
          <w:tcPr>
            <w:tcW w:type="dxa" w:w="2324"/>
            <w:tcMar>
              <w:top w:w="80" w:type="dxa"/>
              <w:start w:w="90" w:type="dxa"/>
              <w:bottom w:w="80" w:type="dxa"/>
              <w:end w:w="90" w:type="dxa"/>
            </w:tcMar>
            <w:vAlign w:val="top"/>
          </w:tcPr>
          <w:p>
            <w:pPr>
              <w:spacing w:after="0"/>
            </w:pPr>
            <w:r>
              <w:rPr>
                <w:rFonts w:ascii="Times New Roman" w:hAnsi="Times New Roman" w:eastAsia="Times New Roman"/>
                <w:sz w:val="21"/>
              </w:rPr>
              <w:t>5. Quản lý bất định</w:t>
            </w:r>
          </w:p>
        </w:tc>
        <w:tc>
          <w:tcPr>
            <w:tcW w:type="dxa" w:w="1247"/>
            <w:tcMar>
              <w:top w:w="80" w:type="dxa"/>
              <w:start w:w="90" w:type="dxa"/>
              <w:bottom w:w="80" w:type="dxa"/>
              <w:end w:w="90" w:type="dxa"/>
            </w:tcMar>
            <w:vAlign w:val="top"/>
          </w:tcPr>
          <w:p>
            <w:pPr>
              <w:spacing w:after="0"/>
              <w:jc w:val="center"/>
            </w:pPr>
            <w:r>
              <w:rPr>
                <w:rFonts w:ascii="Times New Roman" w:hAnsi="Times New Roman" w:eastAsia="Times New Roman"/>
                <w:sz w:val="21"/>
              </w:rPr>
              <w:t>1</w:t>
            </w:r>
          </w:p>
        </w:tc>
        <w:tc>
          <w:tcPr>
            <w:tcW w:type="dxa" w:w="3402"/>
            <w:tcMar>
              <w:top w:w="80" w:type="dxa"/>
              <w:start w:w="90" w:type="dxa"/>
              <w:bottom w:w="80" w:type="dxa"/>
              <w:end w:w="90" w:type="dxa"/>
            </w:tcMar>
            <w:vAlign w:val="top"/>
          </w:tcPr>
          <w:p>
            <w:pPr>
              <w:spacing w:after="0"/>
            </w:pPr>
            <w:r>
              <w:rPr>
                <w:rFonts w:ascii="Times New Roman" w:hAnsi="Times New Roman" w:eastAsia="Times New Roman"/>
                <w:sz w:val="21"/>
              </w:rPr>
              <w:t>Nêu rõ dữ kiện thiếu, phạm vi chưa chắc chắn hoặc yêu cầu kiểm tra thêm.</w:t>
            </w:r>
          </w:p>
        </w:tc>
        <w:tc>
          <w:tcPr>
            <w:tcW w:type="dxa" w:w="2948"/>
            <w:tcMar>
              <w:top w:w="80" w:type="dxa"/>
              <w:start w:w="90" w:type="dxa"/>
              <w:bottom w:w="80" w:type="dxa"/>
              <w:end w:w="90" w:type="dxa"/>
            </w:tcMar>
            <w:vAlign w:val="top"/>
          </w:tcPr>
          <w:p>
            <w:pPr>
              <w:spacing w:after="0"/>
            </w:pPr>
            <w:r>
              <w:rPr>
                <w:rFonts w:ascii="Times New Roman" w:hAnsi="Times New Roman" w:eastAsia="Times New Roman"/>
                <w:sz w:val="21"/>
              </w:rPr>
              <w:t>Bịa thông tin hoặc giả định dữ kiện quan trọng.</w:t>
            </w:r>
          </w:p>
        </w:tc>
      </w:tr>
    </w:tbl>
    <w:p>
      <w:pPr>
        <w:pStyle w:val="Heading1"/>
      </w:pPr>
      <w:r>
        <w:t>5. Mốc pháp lý tham chiếu khi thiết kế benchmark</w:t>
      </w:r>
    </w:p>
    <w:p>
      <w:pPr>
        <w:pStyle w:val="ListBullet"/>
        <w:spacing w:after="40"/>
      </w:pPr>
      <w:r>
        <w:rPr>
          <w:rFonts w:ascii="Times New Roman" w:hAnsi="Times New Roman" w:eastAsia="Times New Roman"/>
          <w:sz w:val="23"/>
        </w:rPr>
        <w:t>Luật Giáo dục đại học số 125/2025/QH15, ban hành 10/12/2025, hiệu lực 01/01/2026.</w:t>
      </w:r>
    </w:p>
    <w:p>
      <w:pPr>
        <w:pStyle w:val="ListBullet"/>
        <w:spacing w:after="40"/>
      </w:pPr>
      <w:r>
        <w:rPr>
          <w:rFonts w:ascii="Times New Roman" w:hAnsi="Times New Roman" w:eastAsia="Times New Roman"/>
          <w:sz w:val="23"/>
        </w:rPr>
        <w:t>Nghị định số 91/2026/NĐ-CP, ban hành và có hiệu lực 30/03/2026, quy định chi tiết và hướng dẫn thi hành một số điều của Luật Giáo dục đại học.</w:t>
      </w:r>
    </w:p>
    <w:p>
      <w:pPr>
        <w:pStyle w:val="ListBullet"/>
        <w:spacing w:after="40"/>
      </w:pPr>
      <w:r>
        <w:rPr>
          <w:rFonts w:ascii="Times New Roman" w:hAnsi="Times New Roman" w:eastAsia="Times New Roman"/>
          <w:sz w:val="23"/>
        </w:rPr>
        <w:t>Luật Viên chức số 129/2025/QH15, ban hành 10/12/2025, hiệu lực 01/07/2026.</w:t>
      </w:r>
    </w:p>
    <w:p>
      <w:pPr>
        <w:pStyle w:val="ListBullet"/>
        <w:spacing w:after="40"/>
      </w:pPr>
      <w:r>
        <w:rPr>
          <w:rFonts w:ascii="Times New Roman" w:hAnsi="Times New Roman" w:eastAsia="Times New Roman"/>
          <w:sz w:val="23"/>
        </w:rPr>
        <w:t>Luật Khoa học, công nghệ và đổi mới sáng tạo số 93/2025/QH15, hiệu lực 01/10/2025; cùng các nghị định hướng dẫn ban hành trong năm 2025.</w:t>
      </w:r>
    </w:p>
    <w:p>
      <w:pPr>
        <w:pStyle w:val="ListBullet"/>
        <w:spacing w:after="40"/>
      </w:pPr>
      <w:r>
        <w:rPr>
          <w:rFonts w:ascii="Times New Roman" w:hAnsi="Times New Roman" w:eastAsia="Times New Roman"/>
          <w:sz w:val="23"/>
        </w:rPr>
        <w:t>Luật số 131/2025/QH15 sửa đổi, bổ sung một số điều của Luật Sở hữu trí tuệ, hiệu lực 01/04/2026.</w:t>
      </w:r>
    </w:p>
    <w:p>
      <w:pPr>
        <w:spacing w:before="120"/>
      </w:pPr>
      <w:r>
        <w:rPr>
          <w:rFonts w:ascii="Times New Roman" w:hAnsi="Times New Roman" w:eastAsia="Times New Roman"/>
          <w:b w:val="0"/>
          <w:i/>
          <w:sz w:val="23"/>
        </w:rPr>
        <w:t>Lưu ý: Các mốc trên chỉ là căn cứ để thiết kế bộ kiểm thử, không phải đáp án. Khi chạy benchmark, hệ thống vẫn phải tự truy xuất văn bản hiện hành tại thời điểm thực tế và không được suy ra đáp án chỉ từ danh sách này.</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sz w:val="18"/>
      </w:rPr>
      <w:t>Benchmark kiểm thử hệ thống pháp luật đại học - 20/08/2026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