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BRIGHTLOOM TERMS OF SERVICE</w:t>
      </w:r>
    </w:p>
    <w:p>
      <w:r>
        <w:t>SYNTHETIC SAMPLE: fictional vendor, written for testing. Not a real agreement.</w:t>
      </w:r>
    </w:p>
    <w:p>
      <w:r>
        <w:t>1. Definitions. "Customer Content" means prompts and other inputs Customer submits, and "Outputs" means content the Services generate in response.</w:t>
      </w:r>
    </w:p>
    <w:p>
      <w:r>
        <w:t>2. Ownership. As between the parties, Customer owns Outputs, subject to Brightloom's rights under Section 4.3.</w:t>
      </w:r>
    </w:p>
    <w:p>
      <w:r>
        <w:t>3. Confidentiality. "Confidential Information" means non-public business information a party discloses and marks as confidential. Customer Content is not Confidential Information.</w:t>
      </w:r>
    </w:p>
    <w:p>
      <w:r>
        <w:t>4. Customer Content.</w:t>
      </w:r>
    </w:p>
    <w:p>
      <w:r>
        <w:t>4.1 License. Customer grants Brightloom a worldwide, royalty-free license to host, copy, and process Customer Content to provide the Services.</w:t>
      </w:r>
    </w:p>
    <w:p>
      <w:r>
        <w:t>4.2 Retention. Brightloom retains Customer Content for as long as needed for the purposes in this Section 4 and as required by law.</w:t>
      </w:r>
    </w:p>
    <w:p>
      <w:r>
        <w:t>4.3 Service Improvement. Brightloom may use Customer Content and Outputs to operate, maintain, and improve the Services, including to train and refine Brightloom's models, unless Customer submits an opt-out request through the admin console.</w:t>
      </w:r>
    </w:p>
    <w:p>
      <w:r>
        <w:t>5. Subprocessors. Brightloom may engage subprocessors to provide the Services.</w:t>
      </w:r>
    </w:p>
    <w:p>
      <w:r>
        <w:t>6. Security. Brightloom will use commercially reasonable safeguards to protect Customer Content and will notify Customer of a security breach affecting Customer Content within a reasonable time.</w:t>
      </w:r>
    </w:p>
    <w:p>
      <w:r>
        <w:t>7. Changes. Brightloom may modify these Terms at any time by posting the revised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