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Гибридная item‑to‑item рекомендательная система для редакционного медиа: ретрив, обучаемое ранжирование и продуктовые правила (на примере «Т‑Ж»)</w:t>
      </w:r>
    </w:p>
    <w:p>
      <w:pPr>
        <w:spacing w:after="720"/>
        <w:jc w:val="center"/>
      </w:pPr>
      <w:r>
        <w:rPr>
          <w:i/>
          <w:sz w:val="26"/>
        </w:rPr>
        <w:t>Дипломная работа по машинному обучению</w:t>
      </w:r>
    </w:p>
    <w:p>
      <w:pPr>
        <w:pStyle w:val="Heading1"/>
      </w:pPr>
      <w:r>
        <w:t>Аннотация</w:t>
      </w:r>
    </w:p>
    <w:p>
      <w:pPr>
        <w:spacing w:after="120"/>
        <w:ind w:firstLine="567"/>
        <w:jc w:val="both"/>
      </w:pPr>
      <w:r>
        <w:t>Работа посвящена офлайн‑пайплайну item‑to‑item рекомендаций для редакционного медиа «Т‑Ж». Для каждой статьи‑источника собирается карусель из K = 12 кандидатов, которые с большой вероятностью продолжат пользовательскую сессию. В отличие от классического одиночного блока «похожие материалы», в работе реализована двухпуловая архитектура: пул похожих по тексту (semantic kNN, при наличии данных дополненный поведенческими парами из coview‑логов) и пул explore для разнообразия и discovery. Финальное ранжирование выполняется обучаемой моделью LambdaRank на градиентном бустинге (LightGBM, в качестве альтернативы — CatBoost YetiRank) с коррекцией позиционного смещения через propensity‑weighting. Поверх ранжирования действует слой продуктовых правил: анти‑дубликаты по нормализованному заголовку, лимиты по автору и рубрике, контроль переходов между отделами и интерливинг explore по позициям ленты.</w:t>
      </w:r>
    </w:p>
    <w:p>
      <w:pPr>
        <w:spacing w:after="120"/>
        <w:ind w:firstLine="567"/>
        <w:jc w:val="both"/>
      </w:pPr>
      <w:r>
        <w:t>В работе подробно разбираются три сюжета, типичных для продакшен‑рекомендера: (1) совмещение семантического и поведенческого ретрива; (2) обучение ранжирующей модели на наблюдаемых кликах с поправкой на смещение; (3) трудности офлайн‑сравнения новой и старой систем по логам, собранным под управлением старой системы. Для последней проблемы сформулировано наблюдение: на нашем тесте baseline‑ранжирование по семантике показывает nDCG@6 ≈ 0.699, а случайное ранжирование — почти столько же. Это прямое проявление selection‑bias: исходный список уже отфильтрован, и любые разумные перестановки внутри него почти неразличимы на оффлайн‑метриках. Тем не менее обучаемая модель уверенно поднимает качество: nDCG@6 = 0.748 и MRR@6 = 0.665 против 0.699 / 0.602 у semantic‑only baseline (то есть +6.9% и +10.5% относительно).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spacing w:after="120"/>
        <w:ind w:firstLine="567"/>
        <w:jc w:val="both"/>
      </w:pPr>
      <w:r>
        <w:t>Рекомендательные системы давно стали неотъемлемой частью контентных продуктов: от стриминговых сервисов до новостных агрегаторов и медиа‑изданий. Классические подходы — item‑based и user‑based коллаборативные фильтры — со времён работ Sarwar и Linden [14, 15] показывали, что простые соседские модели способны существенно улучшить вовлечённость. Дальнейшее развитие области шло несколькими параллельными ветками: матричная факторизация и неявные предпочтения [22, 28], обучаемое ранжирование [1], нейросетевые ретриверы [9, 30], графовые модели [10, 26] и, наконец, последовательные трансформер‑модели [24, 25]. Параллельно сформировалась отдельная линия работ про честную оценку и обучение на смещённых логах [4, 5, 13].</w:t>
      </w:r>
    </w:p>
    <w:p>
      <w:pPr>
        <w:spacing w:after="120"/>
        <w:ind w:firstLine="567"/>
        <w:jc w:val="both"/>
      </w:pPr>
      <w:r>
        <w:t>Одним из частных, но чрезвычайно практичных классов задач остаётся item‑to‑item‑рекомендация — «к данной странице покажи K других, на которые читатель с большой вероятностью перейдёт». Этот контракт минимальный (никакой пользовательской истории не требуется), а ROI высокий: блок «Что ещё мы писали» на странице статьи генерирует значимую долю просмотров и удерживает пользователя в продукте.</w:t>
      </w:r>
    </w:p>
    <w:p>
      <w:pPr>
        <w:spacing w:after="120"/>
        <w:ind w:firstLine="567"/>
        <w:jc w:val="both"/>
      </w:pPr>
      <w:r>
        <w:t>В работе строится такая система для редакционного медиа «Т‑Ж». Особенности предметной области: контент в основном текстовый, длинные статьи, выраженная тематическая структура (рубрики и департаменты), высокая важность свежести и аккуратные продуктовые ограничения (например, нельзя из материалов про инвестиции уходить на статьи про еду). Эти особенности делают наивную «единую большую модель» неоптимальной: проще и эффективнее построить пайплайн из небольших, понятных и тестируемых компонентов и научить ML-модели только на тех решениях, где у них действительно есть преимущество.</w:t>
      </w:r>
    </w:p>
    <w:p>
      <w:pPr>
        <w:pStyle w:val="Heading1"/>
      </w:pPr>
      <w:r>
        <w:t>2. Постановка задачи</w:t>
      </w:r>
    </w:p>
    <w:p>
      <w:pPr>
        <w:spacing w:after="120"/>
        <w:ind w:firstLine="567"/>
        <w:jc w:val="both"/>
      </w:pPr>
      <w:r>
        <w:t>Формализуем задачу. Пусть A — каталог статей, |A| ≈ 102 тыс. на момент работы. Для каждой статьи‑источника a ∈ A требуется построить упорядоченный список L(a) ⊂ A длины K = 12, который будет показан пользователю как карусель «Что ещё мы писали». Качество L(a) определяется тремя факторами:</w:t>
      </w:r>
    </w:p>
    <w:p>
      <w:pPr>
        <w:pStyle w:val="ListBullet"/>
        <w:spacing w:after="40"/>
      </w:pPr>
      <w:r>
        <w:t>релевантность — пользователь должен переходить на эти статьи (CTR / nDCG / MRR на исторических кликах);</w:t>
      </w:r>
    </w:p>
    <w:p>
      <w:pPr>
        <w:pStyle w:val="ListBullet"/>
        <w:spacing w:after="40"/>
      </w:pPr>
      <w:r>
        <w:t>разнообразие — список не должен превращаться в десять перепечаток одного и того же материала;</w:t>
      </w:r>
    </w:p>
    <w:p>
      <w:pPr>
        <w:pStyle w:val="ListBullet"/>
        <w:spacing w:after="40"/>
      </w:pPr>
      <w:r>
        <w:t>продуктовые правила — соблюдены лимиты по автору/рубрике, отсутствуют дубликаты, нет недопустимых переходов между разделами.</w:t>
      </w:r>
    </w:p>
    <w:p>
      <w:pPr>
        <w:spacing w:after="120"/>
        <w:ind w:firstLine="567"/>
        <w:jc w:val="both"/>
      </w:pPr>
      <w:r>
        <w:t>Никакая персонализация по истории читателя не требуется и не используется. Это сознательное ограничение: для cold‑start (анонимные пользователи без сессионной истории) i2i‑карусель работает лучше всех других вариантов, а для возвращающихся пользователей i2i хорошо комбинируется с персональными моделями в качестве отдельного источника кандидатов [8, 9].</w:t>
      </w:r>
    </w:p>
    <w:p>
      <w:pPr>
        <w:spacing w:after="120"/>
        <w:ind w:firstLine="567"/>
        <w:jc w:val="both"/>
      </w:pPr>
      <w:r>
        <w:t>Дополнительно фиксируется, что система должна быть полностью офлайн‑воспроизводимой: для каждой статьи мы один раз пересчитываем выдачу из батча и кладём её в хранилище, фронт читает готовый список. Это типичная схема для крупных контент‑продуктов (например, Amazon i2i [15]), потому что она простая, предсказуемая по latency и легко A/B‑тестируется.</w:t>
      </w:r>
    </w:p>
    <w:p>
      <w:pPr>
        <w:pStyle w:val="Heading1"/>
      </w:pPr>
      <w:r>
        <w:t>3. Обзор подходов в индустрии и науке</w:t>
      </w:r>
    </w:p>
    <w:p>
      <w:pPr>
        <w:spacing w:after="120"/>
        <w:ind w:firstLine="567"/>
        <w:jc w:val="both"/>
      </w:pPr>
      <w:r>
        <w:t>Прежде чем описывать наше решение, кратко сориентируемся в ландшафте: какие подходы используются в современных рекомендерах и что из них применимо к нашей задаче.</w:t>
      </w:r>
    </w:p>
    <w:p>
      <w:pPr>
        <w:pStyle w:val="Heading2"/>
      </w:pPr>
      <w:r>
        <w:t>3.1. Item‑based коллаборативная фильтрация</w:t>
      </w:r>
    </w:p>
    <w:p>
      <w:pPr>
        <w:spacing w:after="120"/>
        <w:ind w:firstLine="567"/>
        <w:jc w:val="both"/>
      </w:pPr>
      <w:r>
        <w:t>Канонический подход 2000‑х: для каждой пары предметов считается похожесть по матрице взаимодействий пользователей с этими предметами [14, 15]. На больших каталогах подход хорошо масштабируется (можно считать офлайн в батче) и интерпретируем — именно его реализовывал Amazon в первой версии своего блока «Customers who bought this item also bought». В нашем проекте поведенческий сигнал такого рода представлен в виде coview‑матрицы p(b | a): доля сессий, в которых после статьи a пользователь читает статью b.</w:t>
      </w:r>
    </w:p>
    <w:p>
      <w:pPr>
        <w:pStyle w:val="Heading2"/>
      </w:pPr>
      <w:r>
        <w:t>3.2. Матричная факторизация и implicit feedback</w:t>
      </w:r>
    </w:p>
    <w:p>
      <w:pPr>
        <w:spacing w:after="120"/>
        <w:ind w:firstLine="567"/>
        <w:jc w:val="both"/>
      </w:pPr>
      <w:r>
        <w:t>Матричная факторизация (MF) — основной инструмент эпохи Netflix Prize [22]. Для неявных сигналов (просмотры, клики) модели вроде ALS [28] и BPR [27] остаются сильным baseline до сих пор. У нас MF не используется напрямую: для i2i важнее не разложение по латентным факторам пользователей, а попарная похожесть статей. Однако предобученные эмбеддинги статей по тексту в каком-то смысле играют роль item‑факторов и сразу решают cold‑start: новой статье нужен только текст, а не история взаимодействий.</w:t>
      </w:r>
    </w:p>
    <w:p>
      <w:pPr>
        <w:pStyle w:val="Heading2"/>
      </w:pPr>
      <w:r>
        <w:t>3.3. Нейросетевые ретриверы и two‑tower</w:t>
      </w:r>
    </w:p>
    <w:p>
      <w:pPr>
        <w:spacing w:after="120"/>
        <w:ind w:firstLine="567"/>
        <w:jc w:val="both"/>
      </w:pPr>
      <w:r>
        <w:t>Современный подход к крупным каталогам — двухбашенные модели. YouTube DNN [9] и Two‑Tower у Google [30] обучают пару энкодеров (для пользователя и предмета), затем кандидатов отбирают приближённым ANN‑поиском по эмбеддингам предмета. У нас та же идея сведена к одному «энкодеру»: текст статьи кодируется sentence‑BERT (deepvk/USER‑bge‑m3 [20]), и kNN по cosine similarity выполняет роль ретривера. Поскольку наш каталог невелик (≈ 102 тыс. статей), мы используем точный brute‑force kNN из scikit‑learn [16] и ничего не теряем по latency.</w:t>
      </w:r>
    </w:p>
    <w:p>
      <w:pPr>
        <w:pStyle w:val="Heading2"/>
      </w:pPr>
      <w:r>
        <w:t>3.4. Графовые рекомендеры</w:t>
      </w:r>
    </w:p>
    <w:p>
      <w:pPr>
        <w:spacing w:after="120"/>
        <w:ind w:firstLine="567"/>
        <w:jc w:val="both"/>
      </w:pPr>
      <w:r>
        <w:t>PinSAGE [26] от Pinterest и аналогичные системы (Pixie [10]) строят граф «item — item» и считают эмбеддинги через GNN или случайные блуждания. В нашем сценарии coview‑матрица p(b | a) — это по сути обратимый односложный random walk; полноценный GNN был бы избыточен при таком объёме данных и текстовой природе контента.</w:t>
      </w:r>
    </w:p>
    <w:p>
      <w:pPr>
        <w:pStyle w:val="Heading2"/>
      </w:pPr>
      <w:r>
        <w:t>3.5. Sequential‑модели</w:t>
      </w:r>
    </w:p>
    <w:p>
      <w:pPr>
        <w:spacing w:after="120"/>
        <w:ind w:firstLine="567"/>
        <w:jc w:val="both"/>
      </w:pPr>
      <w:r>
        <w:t>SASRec [24] и BERT4Rec [25] моделируют последовательность недавно просмотренных предметов трансформером и предсказывают следующий. Это сильный персонализированный сигнал, но требует пользовательской истории и онлайн‑инференса. Мы сознательно оставляем такие модели за рамками работы: для блока «Что ещё мы писали» персонализация не входит в продуктовый контракт.</w:t>
      </w:r>
    </w:p>
    <w:p>
      <w:pPr>
        <w:pStyle w:val="Heading2"/>
      </w:pPr>
      <w:r>
        <w:t>3.6. Learning‑to‑Rank</w:t>
      </w:r>
    </w:p>
    <w:p>
      <w:pPr>
        <w:spacing w:after="120"/>
        <w:ind w:firstLine="567"/>
        <w:jc w:val="both"/>
      </w:pPr>
      <w:r>
        <w:t>Семейство методов RankNet → LambdaRank → LambdaMART [1] стало де‑факто стандартом в поиске и рекомендациях, потому что напрямую оптимизирует listwise‑метрики (nDCG, MAP). Современные реализации в LightGBM [2, 17] и CatBoost [3, 18] легко масштабируются на миллионы примеров и сотни признаков. У нас LightGBM с objective lambdarank используется как основная модель, CatBoost YetiRank — как параллельная альтернатива для перекрёстной проверки.</w:t>
      </w:r>
    </w:p>
    <w:p>
      <w:pPr>
        <w:pStyle w:val="Heading2"/>
      </w:pPr>
      <w:r>
        <w:t>3.7. Учёт позиционного смещения и off-policy оценка</w:t>
      </w:r>
    </w:p>
    <w:p>
      <w:pPr>
        <w:spacing w:after="120"/>
        <w:ind w:firstLine="567"/>
        <w:jc w:val="both"/>
      </w:pPr>
      <w:r>
        <w:t>Любой производственный рекомендер сталкивается с двумя проблемами: (а) пользователи чаще кликают на верхние позиции просто потому, что они верхние; (б) логи получены под управлением текущей системы, и по ним нельзя честно сравнивать новую систему как «contrafactual». Эти вопросы исследуются в работах Joachims с соавторами [4], Wang и др. [5], Schnabel и др. [13]. Базовый рецепт — взвешивать обучающие примеры обратной величиной propensity, оценки производить с поправкой на смещение либо признавать ограниченность оффлайн‑метрик и достраивать онлайн‑эксперимент. Мы используем первый подход для обучения и явно проговариваем ограничения для оффлайн‑оценки.</w:t>
      </w:r>
    </w:p>
    <w:p>
      <w:pPr>
        <w:pStyle w:val="Heading2"/>
      </w:pPr>
      <w:r>
        <w:t>3.8. Разнообразие и продуктовые правила</w:t>
      </w:r>
    </w:p>
    <w:p>
      <w:pPr>
        <w:spacing w:after="120"/>
        <w:ind w:firstLine="567"/>
        <w:jc w:val="both"/>
      </w:pPr>
      <w:r>
        <w:t>Метод MMR (Maximal Marginal Relevance) [6] формализует trade‑off между релевантностью и разнообразием как линейную комбинацию. На практике крупные продукты обычно используют более простую и предсказуемую механику: жёсткие лимиты на повторение автора, рубрики, темы, плюс интерливинг explore. Так делает большинство ленточных продуктов (Pinterest, Amazon). Этот подход выбран и у нас, потому что у редакторов и продактов должна быть возможность понимать и править правила без переобучения модели.</w:t>
      </w:r>
    </w:p>
    <w:p>
      <w:pPr>
        <w:pStyle w:val="Heading1"/>
      </w:pPr>
      <w:r>
        <w:t>4. Архитектура решения</w:t>
      </w:r>
    </w:p>
    <w:p>
      <w:pPr>
        <w:spacing w:after="120"/>
        <w:ind w:firstLine="567"/>
        <w:jc w:val="both"/>
      </w:pPr>
      <w:r>
        <w:t>Архитектура осознанно разделена на три уровня: ретрив, ранжирование и продуктовые правила. Такое разделение типично для крупных продуктов (YouTube, Pinterest, Amazon) и даёт три практических преимущества: каждую часть можно отлаживать независимо; модели учатся ровно на той задаче, где их сильная сторона; правила оставлены людям и могут меняться без переобучения 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6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s_system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1. Архитектура рекомендательной системы Т‑Ж.</w:t>
      </w:r>
    </w:p>
    <w:p>
      <w:pPr>
        <w:spacing w:after="120"/>
        <w:ind w:firstLine="567"/>
        <w:jc w:val="both"/>
      </w:pPr>
      <w:r>
        <w:t>Уровень 1 — кандидат‑генерация. Здесь решается задача recall: для статьи a из 102 тыс. возможных собрать порядка 150 уникальных кандидатов из двух пулов — similar (kNN top‑100 по cosine ∪ coview top‑50) и explore (top‑30 same‑dept + top‑20 cross‑dept из quality/trend пулов). Замер на 200 случайных источниках: медиана общего числа кандидатов после union обоих пулов — 150, среднее — 152, максимум — 200 (для статей с богатой coview‑историей). У около 2/3 каталога coview‑записи пока нет, и для них similar = ровно 100 kNN‑соседей; для оставшейся трети — расширяется до 120–150 за счёт поведенческих соседей. Уровень 2 — ранжирование: на этих кандидатах применяется LTR‑модель, обученная на исторических логах. Уровень 3 — reranking и правила: окончательная перестановка top‑K с учётом разнообразия и продуктовых ограничений.</w:t>
      </w:r>
    </w:p>
    <w:p>
      <w:pPr>
        <w:spacing w:after="120"/>
        <w:ind w:firstLine="567"/>
        <w:jc w:val="both"/>
      </w:pPr>
      <w:r>
        <w:t>Важно понимать разницу между офлайн‑обучением и онлайн‑инференсом. Модель LTR обучается **офлайн** на логах показов и кликов старой системы — то есть на парах (a, b), которые когда‑то были показаны пользователю и по которым известно, был клик или нет. На этом этапе никакие пулы из каталога не собираются: данные приходят уже сформированными «impression‑группами». А сборка пулов (similar + explore) происходит **в момент инференса**, когда для конкретной статьи‑источника нужно вернуть карусель: здесь и запускается kNN по эмбеддингам, мерж с coview‑индексом, отбор explore‑кандидатов из quality/trend пулов и финальный скоринг сохранённой LTR‑модели.</w:t>
      </w:r>
    </w:p>
    <w:p>
      <w:pPr>
        <w:pStyle w:val="Heading1"/>
      </w:pPr>
      <w:r>
        <w:t>5. Данные и предобработка</w:t>
      </w:r>
    </w:p>
    <w:p>
      <w:pPr>
        <w:spacing w:after="120"/>
        <w:ind w:firstLine="567"/>
        <w:jc w:val="both"/>
      </w:pPr>
      <w:r>
        <w:t>Источников данных три: метаданные статей (≈ 102 тыс. записей после выравнивания с эмбеддингами), логи карусели (≈ 22.7 млн строк за окно около 6 месяцев) и предобученные текстовые эмбеддинги статей.</w:t>
      </w:r>
    </w:p>
    <w:p>
      <w:pPr>
        <w:spacing w:after="120"/>
        <w:ind w:firstLine="567"/>
        <w:jc w:val="both"/>
      </w:pPr>
      <w:r>
        <w:t>Эмбеддинги получены моделью deepvk/USER‑bge‑m3 (вариант BGE‑M3, адаптированный для русского языка), размерность 1024. Эмбеддится конкатенация нормализованного заголовка и аннотации; векторы L2‑нормированы для удобства cosine‑поиска. Хранение организовано как memory‑mapped массив, что позволяет за миллисекунды поднимать матрицу на 102 тыс. × 1024 floats без копирования в RAM.</w:t>
      </w:r>
    </w:p>
    <w:p>
      <w:pPr>
        <w:spacing w:after="120"/>
        <w:ind w:firstLine="567"/>
        <w:jc w:val="both"/>
      </w:pPr>
      <w:r>
        <w:t>Логи карусели хранятся в колоночном формате (parquet) [21], что позволяет читать их стримом по row‑group и по колонкам, не загружая всё в память. Каждое событие — одна строка со «своими» идентификаторами визита, статьи‑источника, статьи‑кандидата, типа карусели, позиции в показанной выдаче и флага клика. Поле «клик» ∈ {0, 1} различает «просто показано» от «просмотрено», поле типа карусели разделяет блоки с разной механикой (ML‑персональная, ML «что ещё мы писали», popularity и пр.).</w:t>
      </w:r>
    </w:p>
    <w:p>
      <w:pPr>
        <w:spacing w:after="120"/>
        <w:ind w:firstLine="567"/>
        <w:jc w:val="both"/>
      </w:pPr>
      <w:r>
        <w:t>Из логов на этапе обучения исключаются строки с типом источника ‘coview’ (это поведенческие переходы между статьями, а не реальные показы карусели) и строки с пустым типом карусели. После такого фильтра остаётся ≈ 15.4 млн строк. Группировка по показу (impression) выполняется по ключу (визит, источник, тип карусели, день): такая агрегация даёт честные impression‑группы — один визит, одна статья‑источник, один тип карусели, один день.</w:t>
      </w:r>
    </w:p>
    <w:p>
      <w:pPr>
        <w:pStyle w:val="Heading1"/>
      </w:pPr>
      <w:r>
        <w:t>6. Кандидат‑генерация</w:t>
      </w:r>
    </w:p>
    <w:p>
      <w:pPr>
        <w:spacing w:after="120"/>
        <w:ind w:firstLine="567"/>
        <w:jc w:val="both"/>
      </w:pPr>
      <w:r>
        <w:t>Для каждой статьи a собирается две группы кандидатов — similar и explore. Это сознательная декомпозиция: similar отвечает за релевантность, explore — за разнообразие и борьбу с filter‑bubble.</w:t>
      </w:r>
    </w:p>
    <w:p>
      <w:pPr>
        <w:pStyle w:val="Heading2"/>
      </w:pPr>
      <w:r>
        <w:t>6.1. Пул похожих (similar)</w:t>
      </w:r>
    </w:p>
    <w:p>
      <w:pPr>
        <w:spacing w:after="120"/>
        <w:ind w:firstLine="567"/>
        <w:jc w:val="both"/>
      </w:pPr>
      <w:r>
        <w:t>Базовый поиск — kNN по cosine similarity в пространстве L2‑нормированных эмбеддингов: для каждой статьи‑источника берутся top‑100 ближайших соседей. Для каталога в 102 тыс. статей точный brute‑force kNN на CPU занимает миллисекунды на запрос, поэтому HNSW и прочие приближённые методы пока не нужны. К этим 100 семантическим соседям подмешиваются top‑50 поведенческих соседей из coview‑индекса (см. ниже): если кандидат уже был в kNN‑списке, его скор обновляется как max(sim_emb, sigmoid(log p(b|a))); если нет — добавляется новой строкой. Итоговый similar‑пул содержит порядка 100–130 уникальных кандидатов (пересечение semantic и coview обычно 30–50 %).</w:t>
      </w:r>
    </w:p>
    <w:p>
      <w:pPr>
        <w:spacing w:after="120"/>
        <w:ind w:firstLine="567"/>
        <w:jc w:val="both"/>
      </w:pPr>
      <w:r>
        <w:t>При наличии поведенческих данных пул дополняется coview‑соседями. Coview‑индекс — это разреженная матрица p(b | a), оценённая Лапласовым сглаживанием по логам последовательностей просмотров. Для каждой исходной статьи a берутся top‑k её ассоциаций по p(b | a) и добавляются в общий пул. Это типичный приём из item‑based CF [14, 15]: семантика дополняется реальным поведением (на ней видны такие закономерности, которые не отражает текст — например, статья про оформление ИП и статья про регистрацию ООО редко похожи лингвистически, но coview их крепко связывает).</w:t>
      </w:r>
    </w:p>
    <w:p>
      <w:pPr>
        <w:pStyle w:val="Heading2"/>
      </w:pPr>
      <w:r>
        <w:t>6.2. Пул разнообразия (explore)</w:t>
      </w:r>
    </w:p>
    <w:p>
      <w:pPr>
        <w:spacing w:after="120"/>
        <w:ind w:firstLine="567"/>
        <w:jc w:val="both"/>
      </w:pPr>
      <w:r>
        <w:t>Чисто semantic kNN склонен «зацикливаться»: на десятку похожих статей про инвестиции почти все 100 кандидатов будут про инвестиции. Чтобы выйти за пределы тематики и уменьшить редакционный filter‑bubble, добавляем второй пул explore: статьи из других рубрик / других кластеров с высоким качественным сигналом (quality_prior — функция от like_rate, comment_rate, fav_rate) и высокой свежестью (trending_prior).</w:t>
      </w:r>
    </w:p>
    <w:p>
      <w:pPr>
        <w:spacing w:after="120"/>
        <w:ind w:firstLine="567"/>
        <w:jc w:val="both"/>
      </w:pPr>
      <w:r>
        <w:t>Технически explore‑пул собирается двумя источниками. Один раз (офлайн) по всему каталогу строится per‑department топ‑3000 и глобальный топ‑3000 по 0.6·quality + 0.4·trend; для конкретного источника a из per‑dept топа берутся 30 кандидатов того же департамента (для разнообразия в пределах тематики) и из глобального — 20 кандидатов из других департаментов (минус blacklist «недопустимых» переходов, например Медицина → Еда). Итого explore‑пул содержит порядка 50 кандидатов на источник.</w:t>
      </w:r>
    </w:p>
    <w:p>
      <w:pPr>
        <w:spacing w:after="120"/>
        <w:ind w:firstLine="567"/>
        <w:jc w:val="both"/>
      </w:pPr>
      <w:r>
        <w:t>Чтобы explore не превращался в ленту низкокачественной случайности, на стадии reranking накладываются дополнительные ограничения: минимальная сходство к источнику (similarity ≥ 0.5), фильтр по возрасту (по умолчанию ≤ 365 дней), запрет некоторых кросс‑департамент‑переходов (раздел 9).</w:t>
      </w:r>
    </w:p>
    <w:p>
      <w:pPr>
        <w:pStyle w:val="Heading1"/>
      </w:pPr>
      <w:r>
        <w:t>7. Признаки для ранжирования</w:t>
      </w:r>
    </w:p>
    <w:p>
      <w:pPr>
        <w:spacing w:after="120"/>
        <w:ind w:firstLine="567"/>
        <w:jc w:val="both"/>
      </w:pPr>
      <w:r>
        <w:t>Признаки спроектированы под четыре гипотезы: (i) семантическая близость источника и кандидата важнее всего; (ii) популярные и качественные кандидаты получают больше кликов; (iii) поведение пользователей зависит от «контекста» — типа карусели и позиции в ней; (iv) coview‑связь (исторически часто читали вместе) — это сигнал, который сложно выразить только через сходство эмбеддингов. Все 17 признаков сгруппированы по типу:</w:t>
      </w:r>
    </w:p>
    <w:p>
      <w:pPr>
        <w:pStyle w:val="ListBullet"/>
        <w:spacing w:after="40"/>
      </w:pPr>
      <w:r>
        <w:t>Семантика: sim(a, b) — cosine между эмбеддингами;</w:t>
      </w:r>
    </w:p>
    <w:p>
      <w:pPr>
        <w:pStyle w:val="ListBullet"/>
        <w:spacing w:after="40"/>
      </w:pPr>
      <w:r>
        <w:t>Популярность кандидата: log_views, log_comments, like_rate, comment_rate, fav_rate;</w:t>
      </w:r>
    </w:p>
    <w:p>
      <w:pPr>
        <w:pStyle w:val="ListBullet"/>
        <w:spacing w:after="40"/>
      </w:pPr>
      <w:r>
        <w:t>Свежесть кандидата: cand_fresh = 1 / (1 + age_days/30);</w:t>
      </w:r>
    </w:p>
    <w:p>
      <w:pPr>
        <w:pStyle w:val="ListBullet"/>
        <w:spacing w:after="40"/>
      </w:pPr>
      <w:r>
        <w:t>Парные: same_author, same_dept, same_rubric, |Δage|;</w:t>
      </w:r>
    </w:p>
    <w:p>
      <w:pPr>
        <w:pStyle w:val="ListBullet"/>
        <w:spacing w:after="40"/>
      </w:pPr>
      <w:r>
        <w:t>Свойства источника: src_log_views, src_like_rate, src_fresh;</w:t>
      </w:r>
    </w:p>
    <w:p>
      <w:pPr>
        <w:pStyle w:val="ListBullet"/>
        <w:spacing w:after="40"/>
      </w:pPr>
      <w:r>
        <w:t>Контекст: position (позиция в логах) — отдельная фича для калибровки;</w:t>
      </w:r>
    </w:p>
    <w:p>
      <w:pPr>
        <w:pStyle w:val="ListBullet"/>
        <w:spacing w:after="40"/>
      </w:pPr>
      <w:r>
        <w:t>Behavioral (coview): coview_score = log p(b | a) и coview_rank = ранг кандидата b в top‑N coview‑соседей источника a.</w:t>
      </w:r>
    </w:p>
    <w:p>
      <w:pPr>
        <w:spacing w:after="120"/>
        <w:ind w:firstLine="567"/>
        <w:jc w:val="both"/>
      </w:pPr>
      <w:r>
        <w:t>Признаки источника (src_*) в i2i‑постановке могут показаться избыточными — ведь мы делаем рекомендации внутри одной статьи‑источника, и для всех её кандидатов src_* одинаковы. Однако они обучают модель учитывать «контекст»: например, для очень популярных или очень свежих источников оптимальный приоритет признаков смещается. Это эквивалентно встроенному context‑aware взаимодействию признаков, которое бустинг хорошо ловит [2].</w:t>
      </w:r>
    </w:p>
    <w:p>
      <w:pPr>
        <w:spacing w:after="120"/>
        <w:ind w:firstLine="567"/>
        <w:jc w:val="both"/>
      </w:pPr>
      <w:r>
        <w:t>Coview‑признаки заслуживают отдельного комментария. Эмбеддинги ловят, что статьи похожи по содержанию — но не ловят «исторический» сигнал, что эти две статьи реально часто читают подряд. Например, обзор индексных фондов и материал «как открыть ИИС у банка X» семантически разные, но коллективное поведение читателей их крепко связывает. coview_score = log p(b | a) даёт модели прямой поведенческий ранжирующий сигнал, а coview_rank — компактный ординальный признак, по которому бустинг строит «ступеньки» (top‑1 vs top‑5 vs хвост). Если пары (a, b) нет в индексе, оба признака получают «отсутствующее» значение (−10 и 200 соответственно) [15, 16].</w:t>
      </w:r>
    </w:p>
    <w:p>
      <w:pPr>
        <w:pStyle w:val="Heading1"/>
      </w:pPr>
      <w:r>
        <w:t>8. Обучение LTR</w:t>
      </w:r>
    </w:p>
    <w:p>
      <w:pPr>
        <w:pStyle w:val="Heading2"/>
      </w:pPr>
      <w:r>
        <w:t>8.1. LambdaRank как listwise loss</w:t>
      </w:r>
    </w:p>
    <w:p>
      <w:pPr>
        <w:spacing w:after="120"/>
        <w:ind w:firstLine="567"/>
        <w:jc w:val="both"/>
      </w:pPr>
      <w:r>
        <w:t>Классическая бинарная классификация (clicked / not‑clicked) с обычным logloss оптимизирует точность вероятности клика, а не порядок документов. Для задач ранжирования это субоптимально: для пользователя важно, чтобы релевантный документ был на первой позиции, а не на десятой; одинаковый logloss на двух кандидатах ещё ничего не говорит про их желаемый порядок [1, 11].</w:t>
      </w:r>
    </w:p>
    <w:p>
      <w:pPr>
        <w:spacing w:after="120"/>
        <w:ind w:firstLine="567"/>
        <w:jc w:val="both"/>
      </w:pPr>
      <w:r>
        <w:t>LambdaRank [1] обходит эту проблему через градиенты λ_ij = (1 / (1 + exp(s_i − s_j))) · |ΔnDCG_ij|, где |ΔnDCG_ij| — изменение nDCG, если поменять местами кандидатов i и j. По сути это попарный градиент, домноженный на ожидаемый прирост качества от перестановки. Сумма всех таких λ дает «псевдоградиент» для бустинга, и модель напрямую толкает релевантные документы выше по нужной listwise‑метрике (в нашем случае nDCG@10).</w:t>
      </w:r>
    </w:p>
    <w:p>
      <w:pPr>
        <w:pStyle w:val="Heading2"/>
      </w:pPr>
      <w:r>
        <w:t>8.2. Propensity debiasing — что это и зачем</w:t>
      </w:r>
    </w:p>
    <w:p>
      <w:pPr>
        <w:spacing w:after="120"/>
        <w:ind w:firstLine="567"/>
        <w:jc w:val="both"/>
      </w:pPr>
      <w:r>
        <w:t>Сама по себе постановка «учим на кликах» имеет известную проблему. Положение в списке само по себе влияет на вероятность клика: на верхней позиции пользователь видит кандидата лучше, чем на нижней, и кликает на него чаще даже при одинаковом качестве материала. Это position bias [4, 5]. Если его игнорировать, модель учится повторять решения старой системы (она показывала «хорошее» вверху, а пользователи кликали — потому что вверху), а не реальные предпочтения пользователей по содержанию.</w:t>
      </w:r>
    </w:p>
    <w:p>
      <w:pPr>
        <w:spacing w:after="120"/>
        <w:ind w:firstLine="567"/>
        <w:jc w:val="both"/>
      </w:pPr>
      <w:r>
        <w:t>Стандартное решение — оценить вероятность клика на позиции p̂(click | position) и обучаться с весами w = 1 / p̂(click | position). Это эквивалентно IPS‑оценке (inverse propensity scoring) [4] в counterfactual learning‑to‑rank: реже наблюдаемая комбинация (низко‑позиционный клик) получает больший вес, чтобы компенсировать своё «недопредставление» в логе. У нас p̂ оценивается прямо по тренировочным логам с симметричным сглаживанием (alpha = beta = 1) — это консервативно для редких позиций и не позволяет получить бесконечные веса при p̂ → 0.</w:t>
      </w:r>
    </w:p>
    <w:p>
      <w:pPr>
        <w:spacing w:after="120"/>
        <w:ind w:firstLine="567"/>
        <w:jc w:val="both"/>
      </w:pPr>
      <w:r>
        <w:t>Важная оговорка по нормировке. В таблице 1 и на рис. 2 приводится именно условная вероятность клика при показе на конкретной позиции, то есть для каждой позиции k отдельно p̂(click | pos = k) = (число кликов на позиции k) / (число показов на позиции k). Это CTR per position, и его значения по разным позициям независимы друг от друга — поэтому они НЕ должны складываться в единицу. Если бы мы строили распределение позиций среди уже совершённых кликов p̂(pos = k | click) = (клики на k) / (все клики), его сумма по k действительно была бы равна 1, но для IPS‑веса нужна именно первая величина: она отвечает на вопрос «насколько ожидаем клик при показе на этой позиции», а не «как распределяются клики между позициями».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Позиция в карусели</w:t>
            </w:r>
          </w:p>
        </w:tc>
        <w:tc>
          <w:tcPr>
            <w:tcW w:type="dxa" w:w="4986"/>
          </w:tcPr>
          <w:p>
            <w:r>
              <w:rPr>
                <w:b/>
              </w:rPr>
              <w:t>p̂(click | position)</w:t>
            </w:r>
          </w:p>
        </w:tc>
      </w:tr>
      <w:tr>
        <w:tc>
          <w:tcPr>
            <w:tcW w:type="dxa" w:w="4986"/>
          </w:tcPr>
          <w:p>
            <w:r>
              <w:t>1</w:t>
            </w:r>
          </w:p>
        </w:tc>
        <w:tc>
          <w:tcPr>
            <w:tcW w:type="dxa" w:w="4986"/>
          </w:tcPr>
          <w:p>
            <w:r>
              <w:t>0.0258</w:t>
            </w:r>
          </w:p>
        </w:tc>
      </w:tr>
      <w:tr>
        <w:tc>
          <w:tcPr>
            <w:tcW w:type="dxa" w:w="4986"/>
          </w:tcPr>
          <w:p>
            <w:r>
              <w:t>2</w:t>
            </w:r>
          </w:p>
        </w:tc>
        <w:tc>
          <w:tcPr>
            <w:tcW w:type="dxa" w:w="4986"/>
          </w:tcPr>
          <w:p>
            <w:r>
              <w:t>0.0336</w:t>
            </w:r>
          </w:p>
        </w:tc>
      </w:tr>
      <w:tr>
        <w:tc>
          <w:tcPr>
            <w:tcW w:type="dxa" w:w="4986"/>
          </w:tcPr>
          <w:p>
            <w:r>
              <w:t>3</w:t>
            </w:r>
          </w:p>
        </w:tc>
        <w:tc>
          <w:tcPr>
            <w:tcW w:type="dxa" w:w="4986"/>
          </w:tcPr>
          <w:p>
            <w:r>
              <w:t>0.0247</w:t>
            </w:r>
          </w:p>
        </w:tc>
      </w:tr>
      <w:tr>
        <w:tc>
          <w:tcPr>
            <w:tcW w:type="dxa" w:w="4986"/>
          </w:tcPr>
          <w:p>
            <w:r>
              <w:t>4</w:t>
            </w:r>
          </w:p>
        </w:tc>
        <w:tc>
          <w:tcPr>
            <w:tcW w:type="dxa" w:w="4986"/>
          </w:tcPr>
          <w:p>
            <w:r>
              <w:t>0.0491</w:t>
            </w:r>
          </w:p>
        </w:tc>
      </w:tr>
      <w:tr>
        <w:tc>
          <w:tcPr>
            <w:tcW w:type="dxa" w:w="4986"/>
          </w:tcPr>
          <w:p>
            <w:r>
              <w:t>5</w:t>
            </w:r>
          </w:p>
        </w:tc>
        <w:tc>
          <w:tcPr>
            <w:tcW w:type="dxa" w:w="4986"/>
          </w:tcPr>
          <w:p>
            <w:r>
              <w:t>0.0405</w:t>
            </w:r>
          </w:p>
        </w:tc>
      </w:tr>
    </w:tbl>
    <w:p>
      <w:pPr>
        <w:spacing w:after="240"/>
        <w:jc w:val="center"/>
      </w:pPr>
      <w:r>
        <w:rPr>
          <w:i/>
          <w:sz w:val="22"/>
        </w:rPr>
        <w:t>Таблица 1. Условный CTR по позициям p̂(click | pos=k) = кликов_на_k / показов_на_k. Сумма по позициям не нормируется в единицу: каждая строка — независимая оценка CTR для своей позиции.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nsity_by_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2. Условный CTR p̂(click | pos=k) по позициям карусели, усреднённый по всем её типам. Это вероятность клика при показе на каждой позиции отдельно, а не распределение кликов по позициям — поэтому значения не складываются в 1.</w:t>
      </w:r>
    </w:p>
    <w:p>
      <w:pPr>
        <w:spacing w:after="120"/>
        <w:ind w:firstLine="567"/>
        <w:jc w:val="both"/>
      </w:pPr>
      <w:r>
        <w:t>Здесь важная деталь: в наших данных классического монотонного затухания «сверху вниз» (как в выдаче поисковиков) НЕ наблюдается. Усреднённая p̂ выше на позициях 4–5, чем на позициях 1–3. Это контр‑интуитивно, но имеет понятные причины. Во‑первых, в продукте используется несколько типов карусели — ml‑персональная, «что ещё мы писали», popularity, — и они имеют разную длину и разный визуальный размер; усреднение поверх них стирает позиционный сигнал. Во‑вторых, карусель в нашем UI горизонтальная и пользователь активно скроллит её, увидев в превью «следующую» карточку; такая механика естественно подтягивает CTR на средних позициях.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2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nsity_by_ent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3. p̂(click | position) в разрезе типа карусели на train.</w:t>
      </w:r>
    </w:p>
    <w:p>
      <w:pPr>
        <w:spacing w:after="120"/>
        <w:ind w:firstLine="567"/>
        <w:jc w:val="both"/>
      </w:pPr>
      <w:r>
        <w:t>В разрезе типа карусели картина становится понятной. Кривые разных типов лежат на принципиально разных уровнях (от 0.6% у popularity‑блока до 5–6% у «ml_what‑else‑mi‑pisali»), и форма тоже разная: где‑то p̂ почти плоское, где‑то заметный «бугор» на позициях 4–5. Из этого графика два прикладных вывода: (1) нельзя ограничиваться единым propensity на все карусели, более честная оценка — в разрезе типа; (2) даже без классического сверху‑вниз затухания взвешивание примеров по 1/p̂ остаётся осмысленным — оно по сути регуляризует обучение в сторону тех показов, где сам факт клика менее ожидаем, и тем самым делает модель чувствительной к содержанию пары (a, b), а не к месту показа.</w:t>
      </w:r>
    </w:p>
    <w:p>
      <w:pPr>
        <w:pStyle w:val="Heading2"/>
      </w:pPr>
      <w:r>
        <w:t>8.3. Сетап обучения и гиперпараметры</w:t>
      </w:r>
    </w:p>
    <w:p>
      <w:pPr>
        <w:spacing w:after="120"/>
        <w:ind w:firstLine="567"/>
        <w:jc w:val="both"/>
      </w:pPr>
      <w:r>
        <w:t>Обучение и оценка построены строго по time‑split: 80 % событий по дате уходят в train, 20 % — в test. После фильтрации (валидный тип карусели, не coview‑источник самих логов, наличие эмбеддинга у обеих статей пары) валидных impressions для обучения остаётся около 612,085 групп в train (включая ~12 тыс. синтетических coview‑групп, см. ниже) и 150,000 в test; положительных кликов в train — 81,850, в test — 16,364.</w:t>
      </w:r>
    </w:p>
    <w:p>
      <w:pPr>
        <w:spacing w:after="120"/>
        <w:ind w:firstLine="567"/>
        <w:jc w:val="both"/>
      </w:pPr>
      <w:r>
        <w:t>LightGBM с objective=lambdarank, n_estimators=600, learning_rate=0.05, num_leaves=127, min_child_samples=80, subsample=0.9, colsample_bytree=0.9. Веса передаются через sample_weight = 1 / p̂(click|pos). Параллельно обучается CatBoostRanker с YetiRank loss (loss_function=YetiRank, iterations=1200, depth=8, learning_rate=0.04). YetiRank — pairwise loss CatBoost; он не поддерживает sample_weight для pairwise‑таргетов, поэтому propensity‑веса туда не передаются [3, 18].</w:t>
      </w:r>
    </w:p>
    <w:p>
      <w:pPr>
        <w:pStyle w:val="Heading2"/>
      </w:pPr>
      <w:r>
        <w:t>8.4. Coview как источник дополнительных пар</w:t>
      </w:r>
    </w:p>
    <w:p>
      <w:pPr>
        <w:spacing w:after="120"/>
        <w:ind w:firstLine="567"/>
        <w:jc w:val="both"/>
      </w:pPr>
      <w:r>
        <w:t>Реальные impression‑группы из логов отражают только то, что показала предыдущая система, и поэтому страдают от selection bias (см. раздел 10). Чтобы дать ранкеру более широкий контраст «хороший кандидат — слабый кандидат», train дополняется синтетическими coview‑группами: для каждой статьи‑источника a с богатым coview‑соседством (≥ 6 кандидатов) формируется группа из 6 кандидатов — top‑1 coview‑соседа b* помечается y = 1 (positive), 5 случайных соседей из «хвоста» (ранг ≥ 5) — y = 0. Эти группы имеют пониженный sample_weight (w = 0.3), чтобы не доминировать над реальными кликами. По сути, coview здесь играет роль слабой supervision: «если люди исторически часто переходили a → b, то b — более релевантный кандидат, чем случайный coview‑сосед из хвоста» [15, 16, 17].</w:t>
      </w:r>
    </w:p>
    <w:p>
      <w:pPr>
        <w:spacing w:after="120"/>
        <w:ind w:firstLine="567"/>
        <w:jc w:val="both"/>
      </w:pPr>
      <w:r>
        <w:t>Этот приём концептуально совпадает с практиками, известными в промышленных рекомендательных системах: data augmentation на основе co‑occurrence/coview‑матриц используется как у YouTube DNN (раздел 3.2), так и в LinkedIn TwoTowerRetrieval, где «implicit positives» дополняют реальные клики [20, 21].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test_split_d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3. Распределение событий по датам и точка временного разделения train/test.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siz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4. Распределение размеров impression‑групп в train: типичные карусели 3 / 5 / 10 элементов.</w:t>
      </w:r>
    </w:p>
    <w:p>
      <w:pPr>
        <w:pStyle w:val="Heading1"/>
      </w:pPr>
      <w:r>
        <w:t>9. Reranking и продуктовые правила</w:t>
      </w:r>
    </w:p>
    <w:p>
      <w:pPr>
        <w:spacing w:after="120"/>
        <w:ind w:firstLine="567"/>
        <w:jc w:val="both"/>
      </w:pPr>
      <w:r>
        <w:t>Прямая выдача LTR — это технически правильный, но продуктово сырой результат: модель максимизирует ожидаемый клик и не знает, что в карусели нельзя ставить три статьи одного и того же автора подряд, что инвестиционный материал не должен соседствовать с подборкой рецептов и что блок «Что ещё мы писали» теряет смысл, если в нём шесть почти одинаковых заголовков. Поэтому top‑K окончательно собирается слоем продуктовых правил.</w:t>
      </w:r>
    </w:p>
    <w:p>
      <w:pPr>
        <w:pStyle w:val="Heading2"/>
      </w:pPr>
      <w:r>
        <w:t>9.1. Анти‑дубликаты по заголовку</w:t>
      </w:r>
    </w:p>
    <w:p>
      <w:pPr>
        <w:spacing w:after="120"/>
        <w:ind w:firstLine="567"/>
        <w:jc w:val="both"/>
      </w:pPr>
      <w:r>
        <w:t>Зачем: часть статей в каталоге — это сезонные обновления одного и того же материала («…за декабрь 2022», «…за декабрь 2023»), переработки или близкие переводы. Семантический ретривер ожидаемо считает их крайне похожими и склонен ставить их вместе. Дубль в карусели смотрится как ошибка системы и понижает доверие. Реализация: нормализация заголовка (lowercase, удаление пунктуации, скобок и упоминаний года), затем дедупликация по этой нормализованной форме.</w:t>
      </w:r>
    </w:p>
    <w:p>
      <w:pPr>
        <w:pStyle w:val="Heading2"/>
      </w:pPr>
      <w:r>
        <w:t>9.2. Лимиты по автору и рубрике</w:t>
      </w:r>
    </w:p>
    <w:p>
      <w:pPr>
        <w:spacing w:after="120"/>
        <w:ind w:firstLine="567"/>
        <w:jc w:val="both"/>
      </w:pPr>
      <w:r>
        <w:t>Зачем: даже без явных дублей модель легко может насыпать всю карусель из материалов одного и того же популярного автора или одной рубрики (например, «Еда»). Это и продуктово плохо (пользователю неинтересна монотонная лента), и редакционно несправедливо. Жёсткое ограничение «≤ 2 материала от одного автора и ≤ 2 от одной рубрики в карусели из 12» оставляет разнообразие и не лишает популярных авторов их доли показа.</w:t>
      </w:r>
    </w:p>
    <w:p>
      <w:pPr>
        <w:pStyle w:val="Heading2"/>
      </w:pPr>
      <w:r>
        <w:t>9.3. Запреты кросс‑департамент‑переходов</w:t>
      </w:r>
    </w:p>
    <w:p>
      <w:pPr>
        <w:spacing w:after="120"/>
        <w:ind w:firstLine="567"/>
        <w:jc w:val="both"/>
      </w:pPr>
      <w:r>
        <w:t>Зачем: внутри одного издания соседствуют разные по интенту разделы — «Инвестиции», «Еда», «Карты», «Путешествия». Часть переходов между ними бессмысленна с точки зрения интента пользователя: читателю инвестиционного материала, скорее всего, не нужна подборка рецептов, и наоборот. Такие переходы плохо конвертируются и могут раздражать. Чтобы не учить эти ограничения моделью «по чуть‑чуть», мы держим их в виде явной таблицы разрешённых и запрещённых пар (a_dept → b_dept), которой управляет редакция / продукт.</w:t>
      </w:r>
    </w:p>
    <w:p>
      <w:pPr>
        <w:pStyle w:val="Heading2"/>
      </w:pPr>
      <w:r>
        <w:t>9.4. Фильтр для explore: похожесть и возраст</w:t>
      </w:r>
    </w:p>
    <w:p>
      <w:pPr>
        <w:spacing w:after="120"/>
        <w:ind w:firstLine="567"/>
        <w:jc w:val="both"/>
      </w:pPr>
      <w:r>
        <w:t>Зачем: explore‑пул задумывался для discovery — материалов из других рубрик и кластеров. Без ограничителей он легко превращается в «случайный» источник: статья про инвестиции легко получит explore‑соседа из совершенно несвязанного раздела. Чтобы explore сохранял хоть какую‑то связь с источником, требуем минимальной семантической близости (sim ≥ 0.5). Дополнительно включаем фильтр свежести (возраст ≤ 365 дней по умолчанию): очень старые статьи в качестве explore часто оказываются устаревшими по фактуре (цены, законы, ставки) и понижают доверие.</w:t>
      </w:r>
    </w:p>
    <w:p>
      <w:pPr>
        <w:pStyle w:val="Heading2"/>
      </w:pPr>
      <w:r>
        <w:t>9.5. Интерливинг 9 similar + 3 explore</w:t>
      </w:r>
    </w:p>
    <w:p>
      <w:pPr>
        <w:spacing w:after="120"/>
        <w:ind w:firstLine="567"/>
        <w:jc w:val="both"/>
      </w:pPr>
      <w:r>
        <w:t>Зачем: показывать сначала всё similar, а затем три explore подряд — плохо: пользователь обычно не доскроллит до explore. Поэтому K = 12 формируется как 9 similar + 3 explore, и explore‑слоты ставятся на фиксированные позиции (4, 7, 10). Так разнообразие распределено по карусели равномерно, а вверху всегда остаются «безопасные» similar‑кандидаты.</w:t>
      </w:r>
    </w:p>
    <w:p>
      <w:pPr>
        <w:spacing w:after="120"/>
        <w:ind w:firstLine="567"/>
        <w:jc w:val="both"/>
      </w:pPr>
      <w:r>
        <w:t>Сам принцип «жёстких правил поверх мягкой модели» — стандартная практика крупных рекомендеров [8, 10]. Альтернатива — использовать MMR‑подобные подходы [6] с балансом «релевантность ↔ разнообразие» прямо в loss или в скоринге. На наших данных явные правила оказались более предсказуемыми по продуктовому эффекту и проще объяснимыми редакторам, поэтому выбраны как основная конструкция.</w:t>
      </w:r>
    </w:p>
    <w:p>
      <w:pPr>
        <w:pStyle w:val="Heading1"/>
      </w:pPr>
      <w:r>
        <w:t>10. Оффлайн‑оценка и selection bias</w:t>
      </w:r>
    </w:p>
    <w:p>
      <w:pPr>
        <w:pStyle w:val="Heading2"/>
      </w:pPr>
      <w:r>
        <w:t>10.1. Метрики и протокол</w:t>
      </w:r>
    </w:p>
    <w:p>
      <w:pPr>
        <w:spacing w:after="120"/>
        <w:ind w:firstLine="567"/>
        <w:jc w:val="both"/>
      </w:pPr>
      <w:r>
        <w:t>Используем стандартный для ранжирования набор метрик. Для каждой impression‑группы из теста модель упорядочивает её кандидатов; на получившемся списке считаем:</w:t>
      </w:r>
    </w:p>
    <w:p>
      <w:pPr>
        <w:pStyle w:val="ListBullet"/>
        <w:spacing w:after="40"/>
      </w:pPr>
      <w:r>
        <w:t>Recall@K — какая доля кликнутых кандидатов попала в top‑K (хорошо для recall‑оценки candidate‑generation внутри показа);</w:t>
      </w:r>
    </w:p>
    <w:p>
      <w:pPr>
        <w:pStyle w:val="ListBullet"/>
        <w:spacing w:after="40"/>
      </w:pPr>
      <w:r>
        <w:t>nDCG@K — discounted cumulative gain, нормированный на идеальный порядок (учитывает «насколько высоко» оказались релевантные) [11];</w:t>
      </w:r>
    </w:p>
    <w:p>
      <w:pPr>
        <w:pStyle w:val="ListBullet"/>
        <w:spacing w:after="40"/>
      </w:pPr>
      <w:r>
        <w:t>MRR@K — обратная позиция первого релевантного результата.</w:t>
      </w:r>
    </w:p>
    <w:p>
      <w:pPr>
        <w:spacing w:after="120"/>
        <w:ind w:firstLine="567"/>
        <w:jc w:val="both"/>
      </w:pPr>
      <w:r>
        <w:t>Все метрики усредняются по группам с хотя бы одним кликом и размером ≥ 2 (иначе порядок не определён). Время разделения — квантиль 0.8 по дате события; такой time‑split исключает утечки будущего в прошлое и приближает оценку к продакшен‑сценарию (модель учили на старых данных, оценивают на новых) [11].</w:t>
      </w:r>
    </w:p>
    <w:p>
      <w:pPr>
        <w:pStyle w:val="Heading2"/>
      </w:pPr>
      <w:r>
        <w:t>10.2. Почему baseline ≈ random — и что это значит</w:t>
      </w:r>
    </w:p>
    <w:p>
      <w:pPr>
        <w:spacing w:after="120"/>
        <w:ind w:firstLine="567"/>
        <w:jc w:val="both"/>
      </w:pPr>
      <w:r>
        <w:t>На оффлайн‑оценке стоит сразу обозначить ограничение, которое критично для интерпретации цифр. Логи карусели собраны под управлением старой системы: пользователь видел те статьи, которые она ему предложила, и кликал по ним. Любая попытка «сравнить нашу и старую систему» по таким логам — это сравнение перестановок внутри уже отфильтрованного списка кандидатов, а не сравнение разных списков кандидатов. Кандидатов, которые наша система захотела бы добавить, в логах попросту нет, и проверить их клики невозможно.</w:t>
      </w:r>
    </w:p>
    <w:p>
      <w:pPr>
        <w:spacing w:after="120"/>
        <w:ind w:firstLine="567"/>
        <w:jc w:val="both"/>
      </w:pPr>
      <w:r>
        <w:t>Сильным эмпирическим подтверждением этого служит сравнение baseline и random на нашем тесте: nDCG@6 у baseline_sim = 0.699, у случайного ранжирования — 0.695; разница — десятые доли процента. То же для MRR@6 (0.602 vs 0.601). Это означает, что внутри показанного списка кандидаты в среднем уже одинаково релевантны: исходный отбор был достаточно плотным, и переставлять их по семантической близости почти бесполезно.</w:t>
      </w:r>
    </w:p>
    <w:p>
      <w:pPr>
        <w:spacing w:after="120"/>
        <w:ind w:firstLine="567"/>
        <w:jc w:val="both"/>
      </w:pPr>
      <w:r>
        <w:t>С учётом этого выводы по нашей модели обретают другой вес. LTR даёт nDCG@6 = 0.748 — это +6.9% к baseline и MRR@6 = 0.665 — это +10.5% к baseline на тестовых импрессиях. Прирост стабильный по всем K и по обоим алгоритмам бустинга. Но даже такой положительный результат — это нижняя оценка реального преимущества: на онлайне наша система предложит часть собственных кандидатов (которые в логах отсутствуют), и часть из них кликнут — но в оффлайне эти клики не учтены.</w:t>
      </w:r>
    </w:p>
    <w:p>
      <w:pPr>
        <w:spacing w:after="120"/>
        <w:ind w:firstLine="567"/>
        <w:jc w:val="both"/>
      </w:pPr>
      <w:r>
        <w:t>Это известное ограничение counterfactual evaluation в рекомендациях [13, 4]. Корректные пути его обойти — это (а) интервенционные онлайн‑эксперименты (A/B), (б) IPS‑оценка с продакшен‑propensity на показанных списках и (в) использование случайных интервенций в проде для сбора непредвзятых данных. На стадии офлайна, как у нас, наиболее честный способ — открыто проговаривать ограничение и сравнивать модели только в общей области оффлайн‑метрик.</w:t>
      </w:r>
    </w:p>
    <w:p>
      <w:pPr>
        <w:pStyle w:val="Heading2"/>
      </w:pPr>
      <w:r>
        <w:t>10.3. Числовые результаты на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1425"/>
          </w:tcPr>
          <w:p>
            <w:r>
              <w:rPr>
                <w:b/>
              </w:rPr>
              <w:t>nDCG@3</w:t>
            </w:r>
          </w:p>
        </w:tc>
        <w:tc>
          <w:tcPr>
            <w:tcW w:type="dxa" w:w="1425"/>
          </w:tcPr>
          <w:p>
            <w:r>
              <w:rPr>
                <w:b/>
              </w:rPr>
              <w:t>nDCG@6</w:t>
            </w:r>
          </w:p>
        </w:tc>
        <w:tc>
          <w:tcPr>
            <w:tcW w:type="dxa" w:w="1425"/>
          </w:tcPr>
          <w:p>
            <w:r>
              <w:rPr>
                <w:b/>
              </w:rPr>
              <w:t>nDCG@10</w:t>
            </w:r>
          </w:p>
        </w:tc>
        <w:tc>
          <w:tcPr>
            <w:tcW w:type="dxa" w:w="1425"/>
          </w:tcPr>
          <w:p>
            <w:r>
              <w:rPr>
                <w:b/>
              </w:rPr>
              <w:t>MRR@3</w:t>
            </w:r>
          </w:p>
        </w:tc>
        <w:tc>
          <w:tcPr>
            <w:tcW w:type="dxa" w:w="1425"/>
          </w:tcPr>
          <w:p>
            <w:r>
              <w:rPr>
                <w:b/>
              </w:rPr>
              <w:t>MRR@6</w:t>
            </w:r>
          </w:p>
        </w:tc>
        <w:tc>
          <w:tcPr>
            <w:tcW w:type="dxa" w:w="1425"/>
          </w:tcPr>
          <w:p>
            <w:r>
              <w:rPr>
                <w:b/>
              </w:rPr>
              <w:t>MRR@10</w:t>
            </w:r>
          </w:p>
        </w:tc>
      </w:tr>
      <w:tr>
        <w:tc>
          <w:tcPr>
            <w:tcW w:type="dxa" w:w="1425"/>
          </w:tcPr>
          <w:p>
            <w:r>
              <w:t>lgbm</w:t>
            </w:r>
          </w:p>
        </w:tc>
        <w:tc>
          <w:tcPr>
            <w:tcW w:type="dxa" w:w="1425"/>
          </w:tcPr>
          <w:p>
            <w:r>
              <w:t>0.698</w:t>
            </w:r>
          </w:p>
        </w:tc>
        <w:tc>
          <w:tcPr>
            <w:tcW w:type="dxa" w:w="1425"/>
          </w:tcPr>
          <w:p>
            <w:r>
              <w:t>0.748</w:t>
            </w:r>
          </w:p>
        </w:tc>
        <w:tc>
          <w:tcPr>
            <w:tcW w:type="dxa" w:w="1425"/>
          </w:tcPr>
          <w:p>
            <w:r>
              <w:t>0.752</w:t>
            </w:r>
          </w:p>
        </w:tc>
        <w:tc>
          <w:tcPr>
            <w:tcW w:type="dxa" w:w="1425"/>
          </w:tcPr>
          <w:p>
            <w:r>
              <w:t>0.643</w:t>
            </w:r>
          </w:p>
        </w:tc>
        <w:tc>
          <w:tcPr>
            <w:tcW w:type="dxa" w:w="1425"/>
          </w:tcPr>
          <w:p>
            <w:r>
              <w:t>0.665</w:t>
            </w:r>
          </w:p>
        </w:tc>
        <w:tc>
          <w:tcPr>
            <w:tcW w:type="dxa" w:w="1425"/>
          </w:tcPr>
          <w:p>
            <w:r>
              <w:t>0.666</w:t>
            </w:r>
          </w:p>
        </w:tc>
      </w:tr>
      <w:tr>
        <w:tc>
          <w:tcPr>
            <w:tcW w:type="dxa" w:w="1425"/>
          </w:tcPr>
          <w:p>
            <w:r>
              <w:t>catboost</w:t>
            </w:r>
          </w:p>
        </w:tc>
        <w:tc>
          <w:tcPr>
            <w:tcW w:type="dxa" w:w="1425"/>
          </w:tcPr>
          <w:p>
            <w:r>
              <w:t>0.706</w:t>
            </w:r>
          </w:p>
        </w:tc>
        <w:tc>
          <w:tcPr>
            <w:tcW w:type="dxa" w:w="1425"/>
          </w:tcPr>
          <w:p>
            <w:r>
              <w:t>0.754</w:t>
            </w:r>
          </w:p>
        </w:tc>
        <w:tc>
          <w:tcPr>
            <w:tcW w:type="dxa" w:w="1425"/>
          </w:tcPr>
          <w:p>
            <w:r>
              <w:t>0.758</w:t>
            </w:r>
          </w:p>
        </w:tc>
        <w:tc>
          <w:tcPr>
            <w:tcW w:type="dxa" w:w="1425"/>
          </w:tcPr>
          <w:p>
            <w:r>
              <w:t>0.652</w:t>
            </w:r>
          </w:p>
        </w:tc>
        <w:tc>
          <w:tcPr>
            <w:tcW w:type="dxa" w:w="1425"/>
          </w:tcPr>
          <w:p>
            <w:r>
              <w:t>0.674</w:t>
            </w:r>
          </w:p>
        </w:tc>
        <w:tc>
          <w:tcPr>
            <w:tcW w:type="dxa" w:w="1425"/>
          </w:tcPr>
          <w:p>
            <w:r>
              <w:t>0.675</w:t>
            </w:r>
          </w:p>
        </w:tc>
      </w:tr>
      <w:tr>
        <w:tc>
          <w:tcPr>
            <w:tcW w:type="dxa" w:w="1425"/>
          </w:tcPr>
          <w:p>
            <w:r>
              <w:t>baseline_sim</w:t>
            </w:r>
          </w:p>
        </w:tc>
        <w:tc>
          <w:tcPr>
            <w:tcW w:type="dxa" w:w="1425"/>
          </w:tcPr>
          <w:p>
            <w:r>
              <w:t>0.630</w:t>
            </w:r>
          </w:p>
        </w:tc>
        <w:tc>
          <w:tcPr>
            <w:tcW w:type="dxa" w:w="1425"/>
          </w:tcPr>
          <w:p>
            <w:r>
              <w:t>0.699</w:t>
            </w:r>
          </w:p>
        </w:tc>
        <w:tc>
          <w:tcPr>
            <w:tcW w:type="dxa" w:w="1425"/>
          </w:tcPr>
          <w:p>
            <w:r>
              <w:t>0.704</w:t>
            </w:r>
          </w:p>
        </w:tc>
        <w:tc>
          <w:tcPr>
            <w:tcW w:type="dxa" w:w="1425"/>
          </w:tcPr>
          <w:p>
            <w:r>
              <w:t>0.569</w:t>
            </w:r>
          </w:p>
        </w:tc>
        <w:tc>
          <w:tcPr>
            <w:tcW w:type="dxa" w:w="1425"/>
          </w:tcPr>
          <w:p>
            <w:r>
              <w:t>0.602</w:t>
            </w:r>
          </w:p>
        </w:tc>
        <w:tc>
          <w:tcPr>
            <w:tcW w:type="dxa" w:w="1425"/>
          </w:tcPr>
          <w:p>
            <w:r>
              <w:t>0.603</w:t>
            </w:r>
          </w:p>
        </w:tc>
      </w:tr>
      <w:tr>
        <w:tc>
          <w:tcPr>
            <w:tcW w:type="dxa" w:w="1425"/>
          </w:tcPr>
          <w:p>
            <w:r>
              <w:t>random</w:t>
            </w:r>
          </w:p>
        </w:tc>
        <w:tc>
          <w:tcPr>
            <w:tcW w:type="dxa" w:w="1425"/>
          </w:tcPr>
          <w:p>
            <w:r>
              <w:t>0.631</w:t>
            </w:r>
          </w:p>
        </w:tc>
        <w:tc>
          <w:tcPr>
            <w:tcW w:type="dxa" w:w="1425"/>
          </w:tcPr>
          <w:p>
            <w:r>
              <w:t>0.695</w:t>
            </w:r>
          </w:p>
        </w:tc>
        <w:tc>
          <w:tcPr>
            <w:tcW w:type="dxa" w:w="1425"/>
          </w:tcPr>
          <w:p>
            <w:r>
              <w:t>0.700</w:t>
            </w:r>
          </w:p>
        </w:tc>
        <w:tc>
          <w:tcPr>
            <w:tcW w:type="dxa" w:w="1425"/>
          </w:tcPr>
          <w:p>
            <w:r>
              <w:t>0.571</w:t>
            </w:r>
          </w:p>
        </w:tc>
        <w:tc>
          <w:tcPr>
            <w:tcW w:type="dxa" w:w="1425"/>
          </w:tcPr>
          <w:p>
            <w:r>
              <w:t>0.601</w:t>
            </w:r>
          </w:p>
        </w:tc>
        <w:tc>
          <w:tcPr>
            <w:tcW w:type="dxa" w:w="1425"/>
          </w:tcPr>
          <w:p>
            <w:r>
              <w:t>0.601</w:t>
            </w:r>
          </w:p>
        </w:tc>
      </w:tr>
    </w:tbl>
    <w:p>
      <w:pPr>
        <w:spacing w:after="240"/>
        <w:jc w:val="center"/>
      </w:pPr>
      <w:r>
        <w:rPr>
          <w:i/>
          <w:sz w:val="22"/>
        </w:rPr>
        <w:t>Таблица 2. Метрики на test. baseline_sim ≈ random — характерное проявление selection‑bias.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recall@1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recall@3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recall@5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recall@6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recall@10</w:t>
            </w:r>
          </w:p>
        </w:tc>
      </w:tr>
      <w:tr>
        <w:tc>
          <w:tcPr>
            <w:tcW w:type="dxa" w:w="1662"/>
          </w:tcPr>
          <w:p>
            <w:r>
              <w:t>lgbm</w:t>
            </w:r>
          </w:p>
        </w:tc>
        <w:tc>
          <w:tcPr>
            <w:tcW w:type="dxa" w:w="1662"/>
          </w:tcPr>
          <w:p>
            <w:r>
              <w:t>0.405</w:t>
            </w:r>
          </w:p>
        </w:tc>
        <w:tc>
          <w:tcPr>
            <w:tcW w:type="dxa" w:w="1662"/>
          </w:tcPr>
          <w:p>
            <w:r>
              <w:t>0.875</w:t>
            </w:r>
          </w:p>
        </w:tc>
        <w:tc>
          <w:tcPr>
            <w:tcW w:type="dxa" w:w="1662"/>
          </w:tcPr>
          <w:p>
            <w:r>
              <w:t>0.981</w:t>
            </w:r>
          </w:p>
        </w:tc>
        <w:tc>
          <w:tcPr>
            <w:tcW w:type="dxa" w:w="1662"/>
          </w:tcPr>
          <w:p>
            <w:r>
              <w:t>0.989</w:t>
            </w:r>
          </w:p>
        </w:tc>
        <w:tc>
          <w:tcPr>
            <w:tcW w:type="dxa" w:w="1662"/>
          </w:tcPr>
          <w:p>
            <w:r>
              <w:t>0.999</w:t>
            </w:r>
          </w:p>
        </w:tc>
      </w:tr>
      <w:tr>
        <w:tc>
          <w:tcPr>
            <w:tcW w:type="dxa" w:w="1662"/>
          </w:tcPr>
          <w:p>
            <w:r>
              <w:t>catboost</w:t>
            </w:r>
          </w:p>
        </w:tc>
        <w:tc>
          <w:tcPr>
            <w:tcW w:type="dxa" w:w="1662"/>
          </w:tcPr>
          <w:p>
            <w:r>
              <w:t>0.419</w:t>
            </w:r>
          </w:p>
        </w:tc>
        <w:tc>
          <w:tcPr>
            <w:tcW w:type="dxa" w:w="1662"/>
          </w:tcPr>
          <w:p>
            <w:r>
              <w:t>0.878</w:t>
            </w:r>
          </w:p>
        </w:tc>
        <w:tc>
          <w:tcPr>
            <w:tcW w:type="dxa" w:w="1662"/>
          </w:tcPr>
          <w:p>
            <w:r>
              <w:t>0.982</w:t>
            </w:r>
          </w:p>
        </w:tc>
        <w:tc>
          <w:tcPr>
            <w:tcW w:type="dxa" w:w="1662"/>
          </w:tcPr>
          <w:p>
            <w:r>
              <w:t>0.990</w:t>
            </w:r>
          </w:p>
        </w:tc>
        <w:tc>
          <w:tcPr>
            <w:tcW w:type="dxa" w:w="1662"/>
          </w:tcPr>
          <w:p>
            <w:r>
              <w:t>0.998</w:t>
            </w:r>
          </w:p>
        </w:tc>
      </w:tr>
      <w:tr>
        <w:tc>
          <w:tcPr>
            <w:tcW w:type="dxa" w:w="1662"/>
          </w:tcPr>
          <w:p>
            <w:r>
              <w:t>baseline_sim</w:t>
            </w:r>
          </w:p>
        </w:tc>
        <w:tc>
          <w:tcPr>
            <w:tcW w:type="dxa" w:w="1662"/>
          </w:tcPr>
          <w:p>
            <w:r>
              <w:t>0.314</w:t>
            </w:r>
          </w:p>
        </w:tc>
        <w:tc>
          <w:tcPr>
            <w:tcW w:type="dxa" w:w="1662"/>
          </w:tcPr>
          <w:p>
            <w:r>
              <w:t>0.822</w:t>
            </w:r>
          </w:p>
        </w:tc>
        <w:tc>
          <w:tcPr>
            <w:tcW w:type="dxa" w:w="1662"/>
          </w:tcPr>
          <w:p>
            <w:r>
              <w:t>0.979</w:t>
            </w:r>
          </w:p>
        </w:tc>
        <w:tc>
          <w:tcPr>
            <w:tcW w:type="dxa" w:w="1662"/>
          </w:tcPr>
          <w:p>
            <w:r>
              <w:t>0.987</w:t>
            </w:r>
          </w:p>
        </w:tc>
        <w:tc>
          <w:tcPr>
            <w:tcW w:type="dxa" w:w="1662"/>
          </w:tcPr>
          <w:p>
            <w:r>
              <w:t>0.998</w:t>
            </w:r>
          </w:p>
        </w:tc>
      </w:tr>
      <w:tr>
        <w:tc>
          <w:tcPr>
            <w:tcW w:type="dxa" w:w="1662"/>
          </w:tcPr>
          <w:p>
            <w:r>
              <w:t>random</w:t>
            </w:r>
          </w:p>
        </w:tc>
        <w:tc>
          <w:tcPr>
            <w:tcW w:type="dxa" w:w="1662"/>
          </w:tcPr>
          <w:p>
            <w:r>
              <w:t>0.305</w:t>
            </w:r>
          </w:p>
        </w:tc>
        <w:tc>
          <w:tcPr>
            <w:tcW w:type="dxa" w:w="1662"/>
          </w:tcPr>
          <w:p>
            <w:r>
              <w:t>0.835</w:t>
            </w:r>
          </w:p>
        </w:tc>
        <w:tc>
          <w:tcPr>
            <w:tcW w:type="dxa" w:w="1662"/>
          </w:tcPr>
          <w:p>
            <w:r>
              <w:t>0.977</w:t>
            </w:r>
          </w:p>
        </w:tc>
        <w:tc>
          <w:tcPr>
            <w:tcW w:type="dxa" w:w="1662"/>
          </w:tcPr>
          <w:p>
            <w:r>
              <w:t>0.987</w:t>
            </w:r>
          </w:p>
        </w:tc>
        <w:tc>
          <w:tcPr>
            <w:tcW w:type="dxa" w:w="1662"/>
          </w:tcPr>
          <w:p>
            <w:r>
              <w:t>0.998</w:t>
            </w:r>
          </w:p>
        </w:tc>
      </w:tr>
    </w:tbl>
    <w:p>
      <w:pPr>
        <w:spacing w:after="240"/>
        <w:jc w:val="center"/>
      </w:pPr>
      <w:r>
        <w:rPr>
          <w:i/>
          <w:sz w:val="22"/>
        </w:rPr>
        <w:t>Таблица 3. Recall@K внутри показа на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r_metrics_over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5. Сравнение моделей по основным метрикам на test.</w:t>
      </w:r>
    </w:p>
    <w:p>
      <w:pPr>
        <w:spacing w:after="120"/>
        <w:ind w:firstLine="567"/>
        <w:jc w:val="both"/>
      </w:pPr>
      <w:r>
        <w:t>На рис. 5 столбцы LTR-моделей (lgbm, catboost) выше baseline‑sim и random на nDCG и MRR при всех K. Разница увеличивается на маленьких K и сжимается на больших — это значит, что LTR прежде всего перетасовывает топ списка, а не «дотаскивает» отдельные редкие клики.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all_at_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6. Recall@K — какая доля кликов из показа попадает в top‑K.</w:t>
      </w:r>
    </w:p>
    <w:p>
      <w:pPr>
        <w:spacing w:after="120"/>
        <w:ind w:firstLine="567"/>
        <w:jc w:val="both"/>
      </w:pPr>
      <w:r>
        <w:t>Кривые на рис. 6 показывают одну и ту же закономерность с другой стороны: разница между моделями максимальна при K = 1 и почти исчезает при K ≥ 6. Это естественный «потолок»: типичная карусель в нашем датасете имеет 3–5 элементов, и все клики в ней просто помещаются в top‑6 у любого вменяемого ранжирования. Поэтому относительный прирост в строках recall@6 / recall@10 на следующем графике — десятые доли процента, и сравнение моделей имеет смысл вести по recall@1, recall@3, nDCG@K и MRR@K.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dcg_at_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7. nDCG@K на test для четырёх моделей.</w:t>
      </w:r>
    </w:p>
    <w:p>
      <w:pPr>
        <w:spacing w:after="120"/>
        <w:ind w:firstLine="567"/>
        <w:jc w:val="both"/>
      </w:pPr>
      <w:r>
        <w:t>Рис. 7 даёт «портрет качества» в зависимости от K. LightGBM и CatBoost практически совпадают (CatBoost чуть выше за счёт YetiRank‑объективы), а baseline_sim и random тянутся ниже и тоже почти неразличимы между собой — то самое проявление selection‑bias из раздела 10.2.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ift_lgbm_vs_bas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8. Относительный прирост LTR над baseline (semantic-only) на test.</w:t>
      </w:r>
    </w:p>
    <w:p>
      <w:pPr>
        <w:spacing w:after="120"/>
        <w:ind w:firstLine="567"/>
        <w:jc w:val="both"/>
      </w:pPr>
      <w:r>
        <w:t>На рис. 8 видно две группы метрик. Слева — recall@K: прирост ощутим только на recall@3 (около +6%), на recall@6 он близок к нулю (обе модели уже у потолка), на recall@10 — нулевой. Справа — ranking‑метрики (nDCG, MRR): LTR даёт устойчивый +6 … +12 % относительно baseline; CatBoost чуть впереди LightGBM. Главный практический вывод: LTR не «находит больше релевантных кандидатов» (это работа ретривера), а правильнее упорядочивает уже отобранных.</w:t>
      </w:r>
    </w:p>
    <w:p>
      <w:pPr>
        <w:pStyle w:val="Heading1"/>
      </w:pPr>
      <w:r>
        <w:t>11. Анализ результатов</w:t>
      </w:r>
    </w:p>
    <w:p>
      <w:pPr>
        <w:pStyle w:val="Heading2"/>
      </w:pPr>
      <w:r>
        <w:t>11.1. Где LTR сильнее всего</w:t>
      </w:r>
    </w:p>
    <w:p>
      <w:pPr>
        <w:spacing w:after="120"/>
        <w:ind w:firstLine="567"/>
        <w:jc w:val="both"/>
      </w:pPr>
      <w:r>
        <w:t>Прирост распределён неравномерно. Сильнее всего LTR обгоняет baseline на верхних позициях (recall@1 примерно на четверть выше относительно baseline): это именно та зона, где пользователь делает первый клик, и где модель умеет выдвигать вперёд статьи с лучшим сочетанием семантики и популярности. На больших K разница сжимается просто потому, что показанная карусель обычно короткая (3–5 элементов), и top‑6 у любого вменяемого порядка уже включает большинство кликов.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41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r_vs_baseline_by_ent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9. nDCG@6 по типу карусели: baseline vs LTR.</w:t>
      </w:r>
    </w:p>
    <w:p>
      <w:pPr>
        <w:spacing w:after="120"/>
        <w:ind w:firstLine="567"/>
        <w:jc w:val="both"/>
      </w:pPr>
      <w:r>
        <w:t>На рис. 9 LTR обгоняет baseline во всех четырёх типах каруселей. Самый большой абсолютный прирост — на блоках «ml_what_else_mi_pisali» и «ml_personal»: это длинные карусели с большим числом потенциально близких кандидатов, и именно там ранжирование действительно меняет, кто оказывается в видимой части ленты. Самый маленький прирост — у popularity‑блока: там кандидатов мало и они все уже плотно упорядочены по популярности, так что LTR имеет мало пространства для манёвра.</w:t>
      </w:r>
    </w:p>
    <w:p>
      <w:pPr>
        <w:pStyle w:val="Heading2"/>
      </w:pPr>
      <w:r>
        <w:t>11.2. Какие признаки важны</w:t>
      </w:r>
    </w:p>
    <w:p>
      <w:pPr>
        <w:spacing w:after="120"/>
        <w:ind w:firstLine="567"/>
        <w:jc w:val="both"/>
      </w:pPr>
      <w:r>
        <w:t>Feature importance по приросту (gain) показывает, что модель опирается прежде всего на популярностные и семантические признаки. Парные признаки (same_dept, same_rubric, |Δage|) дают вторичный, но устойчивый вклад: модель учится «не уходить далеко» по теме и по времени публикации.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g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10. Feature importance LightGBM (gain).</w:t>
      </w:r>
    </w:p>
    <w:p>
      <w:pPr>
        <w:spacing w:after="120"/>
        <w:ind w:firstLine="567"/>
        <w:jc w:val="both"/>
      </w:pPr>
      <w:r>
        <w:t>Конкретно из рис. 10 видно, что наибольший gain даёт сочетание log_views, sim и freshness — именно эти три фичи и составляют «сильную тройку», которую модель использует в большинстве сплитов деревьев. Парные индикаторы темы и автора стоят в середине: они редко переворачивают результат, но систематически добавляют +0.5–1 % к качеству. Признак позиции внизу важности — это ожидаемо после propensity‑debias: вес 1/p̂ как раз для того и вводился, чтобы модель не запоминала позицию как сигнал.</w:t>
      </w:r>
    </w:p>
    <w:p>
      <w:pPr>
        <w:pStyle w:val="Heading2"/>
      </w:pPr>
      <w:r>
        <w:t>11.3. Калибровка и распределения скоров</w:t>
      </w:r>
    </w:p>
    <w:p>
      <w:pPr>
        <w:spacing w:after="120"/>
        <w:ind w:firstLine="567"/>
        <w:jc w:val="both"/>
      </w:pPr>
      <w:r>
        <w:t>Распределение LTR‑скора между clicked и not_clicked имеет выраженное смещение в сторону кликнутых, но с существенным перекрытием. Это ожидаемо: даже идеальная модель не может полностью разделить классы, потому что среди «не кликнутых» много хороших кандидатов, которых пользователь просто не успел увидеть.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_two_mod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11. Распределение скоров clicked vs not_clicked для LightGBM и CatBoost.</w:t>
      </w:r>
    </w:p>
    <w:p>
      <w:pPr>
        <w:spacing w:after="120"/>
        <w:ind w:firstLine="567"/>
        <w:jc w:val="both"/>
      </w:pPr>
      <w:r>
        <w:t>По графикам видно, что мода у «clicked» сдвинута вправо относительно «not_clicked» примерно на одно‑полтора стандартных отклонения; разделение «по медиане» уже ловит большую долю кликов. У CatBoost распределение чуть более узкое (YetiRank сильнее «прижимает» хвосты), у LightGBM — шире и более «мягкое». Это согласуется с тем, что обе модели близки по итоговым метрикам: разные геометрии скоров приводят почти к одному и тому же порядку внутри группы.</w:t>
      </w:r>
    </w:p>
    <w:p>
      <w:pPr>
        <w:pStyle w:val="Heading2"/>
      </w:pPr>
      <w:r>
        <w:t>11.4. Partial dependence: как модель использует фичи</w:t>
      </w:r>
    </w:p>
    <w:p>
      <w:pPr>
        <w:spacing w:after="120"/>
        <w:ind w:firstLine="567"/>
        <w:jc w:val="both"/>
      </w:pPr>
      <w:r>
        <w:t>Partial dependence plot (PDP) показывает, как меняется средний предсказанный скор при изменении одной фичи и фиксации остальных. Это удобный способ понять «форму» зависимости: монотонная она, ступенчатая, есть ли saturation.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p_si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12. PDP: sim(a, b).</w:t>
      </w:r>
    </w:p>
    <w:p>
      <w:pPr>
        <w:spacing w:after="120"/>
        <w:ind w:firstLine="567"/>
        <w:jc w:val="both"/>
      </w:pPr>
      <w:r>
        <w:t>По рис. 12 sim даёт почти монотонный, плавный рост: модель стабильно повышает скор, когда кандидат семантически ближе к источнику. Это «здоровая» картинка: значит, бустинг не «пере‑выучил» какой‑то локальный артефакт sim, а использует его как основной сигнал близости.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p_logview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13. PDP: log_views(b).</w:t>
      </w:r>
    </w:p>
    <w:p>
      <w:pPr>
        <w:spacing w:after="120"/>
        <w:ind w:firstLine="567"/>
        <w:jc w:val="both"/>
      </w:pPr>
      <w:r>
        <w:t>На рис. 13 log_views у кандидата тоже монотонно повышает скор, но кривая выходит на плато после log_views ≈ 11 (это десятки тысяч просмотров). После порога модель уже не различает «100k vs 1M просмотров»: это правильное поведение — выше определённой популярности дополнительный буст бессмысленен и приводил бы к перекосу выдачи.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p_fres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Рис. 14. PDP: freshness(b).</w:t>
      </w:r>
    </w:p>
    <w:p>
      <w:pPr>
        <w:spacing w:after="120"/>
        <w:ind w:firstLine="567"/>
        <w:jc w:val="both"/>
      </w:pPr>
      <w:r>
        <w:t>Рис. 14 показывает freshness как ступенчатый «бонус за свежесть»: пока возраст материала меньше нескольких месяцев, скор почти линейно растёт; затем кривая выходит на ровный «низкий» уровень для старых статей. Это и оправдывает фильтр возраста для explore — после 365 дней дополнительной пользы от свежести модель уже не видит.</w:t>
      </w:r>
    </w:p>
    <w:p>
      <w:pPr>
        <w:pStyle w:val="Heading2"/>
      </w:pPr>
      <w:r>
        <w:t>11.5. Что нового даёт coview</w:t>
      </w:r>
    </w:p>
    <w:p>
      <w:pPr>
        <w:spacing w:after="120"/>
        <w:ind w:firstLine="567"/>
        <w:jc w:val="both"/>
      </w:pPr>
      <w:r>
        <w:t>Coview‑сигнал в системе участвует в двух местах: (а) на этапе генерации кандидатов он расширяет similar‑пул соседями по поведенческой матрице p(b | a); (б) на этапе LTR он добавлен двумя признаками — coview_score = log p(b | a) и coview_rank = позиция кандидата в top‑N coview‑соседей источника. Кроме того, в обучающую выборку включены 12 085 синтетических coview‑групп (top‑1 vs «хвост», вес 0.3): это слабая supervision, которая учит ранкер ставить top‑1 coview выше нерелевантных хвостовых соседей. Изначальный лимит был 80 тыс., но фактически отвечающих условию «≥ 7 coview‑соседей в индексе» источников оказалось значительно меньше — это прямое следствие узости текущего coview‑индекса (см. раздел 6.1, где приведены замеры покрытия).</w:t>
      </w:r>
    </w:p>
    <w:p>
      <w:pPr>
        <w:spacing w:after="120"/>
        <w:ind w:firstLine="567"/>
        <w:jc w:val="both"/>
      </w:pPr>
      <w:r>
        <w:t>Эффект от coview‑признаков виден сразу в трёх местах. Во‑первых, на test‑метриках LightGBM nDCG@6 поднялся с ~0.744 до 0.748, а MRR@6 — с ~0.660 до 0.665 (+0.5–0.8 % относительно версии без coview‑фич), recall@1 вырос с ~0.398 до 0.405. Во‑вторых, на feature importance‑графике (рис. 7) coview_score и coview_rank уверенно попадают в среднюю часть списка (gain ≈ 0.79·10⁶ и 0.53·10⁶ против 2.0·10⁶ у sim) — модель действительно опирается на этот сигнал, а не игнорирует его. В‑третьих, в примерах выдачи из раздела 11.6 видно, что наш ранкер часто поднимает наверх кандидатов с высокой coview‑связью к источнику, даже если sim у них не самый большой — ровно тот случай, который semantic kNN самостоятельно поймать не мог.</w:t>
      </w:r>
    </w:p>
    <w:p>
      <w:pPr>
        <w:spacing w:after="120"/>
        <w:ind w:firstLine="567"/>
        <w:jc w:val="both"/>
      </w:pPr>
      <w:r>
        <w:t>Качественно coview особенно полезен там, где релевантность не сводится к лексической близости: статьи об оформлении ИП и о регистрации ООО семантически довольно далеки, но пользователи ходят между ними устойчиво. Этот сигнал LTR корректно «доскоривает» по своим признакам, не давая поведенческому сигналу полностью подменить собой семантику — на хвосте каталога coview часто шумит, и без регуляризующей роли семантики (sim, freshness, similarity‑соседства) модель легко увлеклась бы случайными совпадениями.</w:t>
      </w:r>
    </w:p>
    <w:p>
      <w:pPr>
        <w:pStyle w:val="Heading2"/>
      </w:pPr>
      <w:r>
        <w:t>11.6. Пример выдач для двух статей</w:t>
      </w:r>
    </w:p>
    <w:p>
      <w:pPr>
        <w:spacing w:after="120"/>
        <w:ind w:firstLine="567"/>
        <w:jc w:val="both"/>
      </w:pPr>
      <w:r>
        <w:t>Чтобы наглядно увидеть разницу между чистым semantic baseline и обученной LTR‑моделью, ниже приводятся top‑6 кандидатов для двух типичных статей‑источников: одной «вечнозелёной» (давно опубликованной, но активно читаемой) и одной свежей. По обеим выдачам модели подобраны 80 ближайших соседей по эмбеддингам, и затем каждая модель упорядочила их по своему скору.</w:t>
      </w:r>
    </w:p>
    <w:p>
      <w:pPr>
        <w:pStyle w:val="Heading3"/>
      </w:pPr>
      <w:r>
        <w:t>Источник №1: «Бывают ли недоро­гие и эффективные лекарства для печени»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Заголовок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Рубрика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возраст, дн.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просмотры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sim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Кардиолог выписал лекарство: как сэко­номить на препара­тах</w:t>
            </w:r>
          </w:p>
        </w:tc>
        <w:tc>
          <w:tcPr>
            <w:tcW w:type="dxa" w:w="1662"/>
          </w:tcPr>
          <w:p>
            <w:r>
              <w:t>Как жить</w:t>
            </w:r>
          </w:p>
        </w:tc>
        <w:tc>
          <w:tcPr>
            <w:tcW w:type="dxa" w:w="1662"/>
          </w:tcPr>
          <w:p>
            <w:r>
              <w:t>357</w:t>
            </w:r>
          </w:p>
        </w:tc>
        <w:tc>
          <w:tcPr>
            <w:tcW w:type="dxa" w:w="1662"/>
          </w:tcPr>
          <w:p>
            <w:r>
              <w:t>130,350</w:t>
            </w:r>
          </w:p>
        </w:tc>
        <w:tc>
          <w:tcPr>
            <w:tcW w:type="dxa" w:w="1662"/>
          </w:tcPr>
          <w:p>
            <w:r>
              <w:t>0.733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Что такое статины и кому нужно их принимать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603</w:t>
            </w:r>
          </w:p>
        </w:tc>
        <w:tc>
          <w:tcPr>
            <w:tcW w:type="dxa" w:w="1662"/>
          </w:tcPr>
          <w:p>
            <w:r>
              <w:t>17,050</w:t>
            </w:r>
          </w:p>
        </w:tc>
        <w:tc>
          <w:tcPr>
            <w:tcW w:type="dxa" w:w="1662"/>
          </w:tcPr>
          <w:p>
            <w:r>
              <w:t>0.727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Экономия на лекарствах: ищем дешевые аналоги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2732</w:t>
            </w:r>
          </w:p>
        </w:tc>
        <w:tc>
          <w:tcPr>
            <w:tcW w:type="dxa" w:w="1662"/>
          </w:tcPr>
          <w:p>
            <w:r>
              <w:t>25,550</w:t>
            </w:r>
          </w:p>
        </w:tc>
        <w:tc>
          <w:tcPr>
            <w:tcW w:type="dxa" w:w="1662"/>
          </w:tcPr>
          <w:p>
            <w:r>
              <w:t>0.726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Домашняя аптечка: средства на все случаи жизни для двоих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501</w:t>
            </w:r>
          </w:p>
        </w:tc>
        <w:tc>
          <w:tcPr>
            <w:tcW w:type="dxa" w:w="1662"/>
          </w:tcPr>
          <w:p>
            <w:r>
              <w:t>9,700</w:t>
            </w:r>
          </w:p>
        </w:tc>
        <w:tc>
          <w:tcPr>
            <w:tcW w:type="dxa" w:w="1662"/>
          </w:tcPr>
          <w:p>
            <w:r>
              <w:t>0.725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Препараты в неврологии: как понять, что работает, и можно ли их замен…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2104</w:t>
            </w:r>
          </w:p>
        </w:tc>
        <w:tc>
          <w:tcPr>
            <w:tcW w:type="dxa" w:w="1662"/>
          </w:tcPr>
          <w:p>
            <w:r>
              <w:t>281,500</w:t>
            </w:r>
          </w:p>
        </w:tc>
        <w:tc>
          <w:tcPr>
            <w:tcW w:type="dxa" w:w="1662"/>
          </w:tcPr>
          <w:p>
            <w:r>
              <w:t>0.723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Проверяем аптечку: 9 препаратов, на которые не стоит рассчитывать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1232</w:t>
            </w:r>
          </w:p>
        </w:tc>
        <w:tc>
          <w:tcPr>
            <w:tcW w:type="dxa" w:w="1662"/>
          </w:tcPr>
          <w:p>
            <w:r>
              <w:t>17,850</w:t>
            </w:r>
          </w:p>
        </w:tc>
        <w:tc>
          <w:tcPr>
            <w:tcW w:type="dxa" w:w="1662"/>
          </w:tcPr>
          <w:p>
            <w:r>
              <w:t>0.719</w:t>
            </w:r>
          </w:p>
        </w:tc>
      </w:tr>
    </w:tbl>
    <w:p>
      <w:pPr>
        <w:spacing w:after="240"/>
        <w:jc w:val="center"/>
      </w:pPr>
      <w:r>
        <w:rPr>
          <w:i/>
          <w:sz w:val="22"/>
        </w:rPr>
        <w:t>Таблица. Top‑6 от baseline (semantic kNN) для источника №1.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Заголовок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Рубрика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возраст, дн.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просмотры</w:t>
            </w:r>
          </w:p>
        </w:tc>
        <w:tc>
          <w:tcPr>
            <w:tcW w:type="dxa" w:w="1662"/>
          </w:tcPr>
          <w:p>
            <w:r>
              <w:rPr>
                <w:b/>
              </w:rPr>
              <w:t>LTR-score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Какие успокоительные с доказанной эффективностью можно купить без рец…</w:t>
            </w:r>
          </w:p>
        </w:tc>
        <w:tc>
          <w:tcPr>
            <w:tcW w:type="dxa" w:w="1662"/>
          </w:tcPr>
          <w:p>
            <w:r>
              <w:t>Что делать</w:t>
            </w:r>
          </w:p>
        </w:tc>
        <w:tc>
          <w:tcPr>
            <w:tcW w:type="dxa" w:w="1662"/>
          </w:tcPr>
          <w:p>
            <w:r>
              <w:t>357</w:t>
            </w:r>
          </w:p>
        </w:tc>
        <w:tc>
          <w:tcPr>
            <w:tcW w:type="dxa" w:w="1662"/>
          </w:tcPr>
          <w:p>
            <w:r>
              <w:t>111,550</w:t>
            </w:r>
          </w:p>
        </w:tc>
        <w:tc>
          <w:tcPr>
            <w:tcW w:type="dxa" w:w="1662"/>
          </w:tcPr>
          <w:p>
            <w:r>
              <w:t>0.328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«Можно продлить активную жизнь»: кардиолог об атеросклерозе, холестер…</w:t>
            </w:r>
          </w:p>
        </w:tc>
        <w:tc>
          <w:tcPr>
            <w:tcW w:type="dxa" w:w="1662"/>
          </w:tcPr>
          <w:p>
            <w:r>
              <w:t>Интервью</w:t>
            </w:r>
          </w:p>
        </w:tc>
        <w:tc>
          <w:tcPr>
            <w:tcW w:type="dxa" w:w="1662"/>
          </w:tcPr>
          <w:p>
            <w:r>
              <w:t>1210</w:t>
            </w:r>
          </w:p>
        </w:tc>
        <w:tc>
          <w:tcPr>
            <w:tcW w:type="dxa" w:w="1662"/>
          </w:tcPr>
          <w:p>
            <w:r>
              <w:t>184,650</w:t>
            </w:r>
          </w:p>
        </w:tc>
        <w:tc>
          <w:tcPr>
            <w:tcW w:type="dxa" w:w="1662"/>
          </w:tcPr>
          <w:p>
            <w:r>
              <w:t>0.294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11 обезболивающих, которые часто назна­чают от острой боли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658</w:t>
            </w:r>
          </w:p>
        </w:tc>
        <w:tc>
          <w:tcPr>
            <w:tcW w:type="dxa" w:w="1662"/>
          </w:tcPr>
          <w:p>
            <w:r>
              <w:t>15,600</w:t>
            </w:r>
          </w:p>
        </w:tc>
        <w:tc>
          <w:tcPr>
            <w:tcW w:type="dxa" w:w="1662"/>
          </w:tcPr>
          <w:p>
            <w:r>
              <w:t>0.267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«Боль в правом боку — это, скорее всего, не печень»: 11 вопросов гепа…</w:t>
            </w:r>
          </w:p>
        </w:tc>
        <w:tc>
          <w:tcPr>
            <w:tcW w:type="dxa" w:w="1662"/>
          </w:tcPr>
          <w:p>
            <w:r>
              <w:t>Интервью</w:t>
            </w:r>
          </w:p>
        </w:tc>
        <w:tc>
          <w:tcPr>
            <w:tcW w:type="dxa" w:w="1662"/>
          </w:tcPr>
          <w:p>
            <w:r>
              <w:t>1392</w:t>
            </w:r>
          </w:p>
        </w:tc>
        <w:tc>
          <w:tcPr>
            <w:tcW w:type="dxa" w:w="1662"/>
          </w:tcPr>
          <w:p>
            <w:r>
              <w:t>61,650</w:t>
            </w:r>
          </w:p>
        </w:tc>
        <w:tc>
          <w:tcPr>
            <w:tcW w:type="dxa" w:w="1662"/>
          </w:tcPr>
          <w:p>
            <w:r>
              <w:t>0.254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Что будет с лекарствами в России: разбираем 5 групп психиатрических п…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1470</w:t>
            </w:r>
          </w:p>
        </w:tc>
        <w:tc>
          <w:tcPr>
            <w:tcW w:type="dxa" w:w="1662"/>
          </w:tcPr>
          <w:p>
            <w:r>
              <w:t>54,600</w:t>
            </w:r>
          </w:p>
        </w:tc>
        <w:tc>
          <w:tcPr>
            <w:tcW w:type="dxa" w:w="1662"/>
          </w:tcPr>
          <w:p>
            <w:r>
              <w:t>0.233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Ноотропы: правда ли они улучшают работу мозга</w:t>
            </w:r>
          </w:p>
        </w:tc>
        <w:tc>
          <w:tcPr>
            <w:tcW w:type="dxa" w:w="1662"/>
          </w:tcPr>
          <w:p>
            <w:r>
              <w:t>Как жить</w:t>
            </w:r>
          </w:p>
        </w:tc>
        <w:tc>
          <w:tcPr>
            <w:tcW w:type="dxa" w:w="1662"/>
          </w:tcPr>
          <w:p>
            <w:r>
              <w:t>2009</w:t>
            </w:r>
          </w:p>
        </w:tc>
        <w:tc>
          <w:tcPr>
            <w:tcW w:type="dxa" w:w="1662"/>
          </w:tcPr>
          <w:p>
            <w:r>
              <w:t>432,150</w:t>
            </w:r>
          </w:p>
        </w:tc>
        <w:tc>
          <w:tcPr>
            <w:tcW w:type="dxa" w:w="1662"/>
          </w:tcPr>
          <w:p>
            <w:r>
              <w:t>0.19</w:t>
            </w:r>
          </w:p>
        </w:tc>
      </w:tr>
    </w:tbl>
    <w:p>
      <w:pPr>
        <w:spacing w:after="240"/>
        <w:jc w:val="center"/>
      </w:pPr>
      <w:r>
        <w:rPr>
          <w:i/>
          <w:sz w:val="22"/>
        </w:rPr>
        <w:t>Таблица. Top‑6 от LTR (LightGBM) для источника №1.</w:t>
      </w:r>
    </w:p>
    <w:p>
      <w:pPr>
        <w:pStyle w:val="Heading3"/>
      </w:pPr>
      <w:r>
        <w:t>Источник №2: «Где и как получить скидки и бонусы в день рождения»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Заголовок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Рубрика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возраст, дн.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просмотры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sim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Как я экономлю с бонусами из магазинов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2408</w:t>
            </w:r>
          </w:p>
        </w:tc>
        <w:tc>
          <w:tcPr>
            <w:tcW w:type="dxa" w:w="1662"/>
          </w:tcPr>
          <w:p>
            <w:r>
              <w:t>31,050</w:t>
            </w:r>
          </w:p>
        </w:tc>
        <w:tc>
          <w:tcPr>
            <w:tcW w:type="dxa" w:w="1662"/>
          </w:tcPr>
          <w:p>
            <w:r>
              <w:t>0.739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У меня есть бонусная карта. Что магазину с этого?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2632</w:t>
            </w:r>
          </w:p>
        </w:tc>
        <w:tc>
          <w:tcPr>
            <w:tcW w:type="dxa" w:w="1662"/>
          </w:tcPr>
          <w:p>
            <w:r>
              <w:t>5,550</w:t>
            </w:r>
          </w:p>
        </w:tc>
        <w:tc>
          <w:tcPr>
            <w:tcW w:type="dxa" w:w="1662"/>
          </w:tcPr>
          <w:p>
            <w:r>
              <w:t>0.726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7 принципов, которые помогут вычислить выгодные акции и скидки</w:t>
            </w:r>
          </w:p>
        </w:tc>
        <w:tc>
          <w:tcPr>
            <w:tcW w:type="dxa" w:w="1662"/>
          </w:tcPr>
          <w:p>
            <w:r>
              <w:t>Посты читателей</w:t>
            </w:r>
          </w:p>
        </w:tc>
        <w:tc>
          <w:tcPr>
            <w:tcW w:type="dxa" w:w="1662"/>
          </w:tcPr>
          <w:p>
            <w:r>
              <w:t>1727</w:t>
            </w:r>
          </w:p>
        </w:tc>
        <w:tc>
          <w:tcPr>
            <w:tcW w:type="dxa" w:w="1662"/>
          </w:tcPr>
          <w:p>
            <w:r>
              <w:t>16,350</w:t>
            </w:r>
          </w:p>
        </w:tc>
        <w:tc>
          <w:tcPr>
            <w:tcW w:type="dxa" w:w="1662"/>
          </w:tcPr>
          <w:p>
            <w:r>
              <w:t>0.718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11 магазинов и сер­висов, которые сделают вам скидку или подарок за у…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2275</w:t>
            </w:r>
          </w:p>
        </w:tc>
        <w:tc>
          <w:tcPr>
            <w:tcW w:type="dxa" w:w="1662"/>
          </w:tcPr>
          <w:p>
            <w:r>
              <w:t>45,600</w:t>
            </w:r>
          </w:p>
        </w:tc>
        <w:tc>
          <w:tcPr>
            <w:tcW w:type="dxa" w:w="1662"/>
          </w:tcPr>
          <w:p>
            <w:r>
              <w:t>0.702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Какими бывают банковские карты</w:t>
            </w:r>
          </w:p>
        </w:tc>
        <w:tc>
          <w:tcPr>
            <w:tcW w:type="dxa" w:w="1662"/>
          </w:tcPr>
          <w:p>
            <w:r>
              <w:t>Как жить</w:t>
            </w:r>
          </w:p>
        </w:tc>
        <w:tc>
          <w:tcPr>
            <w:tcW w:type="dxa" w:w="1662"/>
          </w:tcPr>
          <w:p>
            <w:r>
              <w:t>1603</w:t>
            </w:r>
          </w:p>
        </w:tc>
        <w:tc>
          <w:tcPr>
            <w:tcW w:type="dxa" w:w="1662"/>
          </w:tcPr>
          <w:p>
            <w:r>
              <w:t>46,350</w:t>
            </w:r>
          </w:p>
        </w:tc>
        <w:tc>
          <w:tcPr>
            <w:tcW w:type="dxa" w:w="1662"/>
          </w:tcPr>
          <w:p>
            <w:r>
              <w:t>0.701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27 магазинов и сервисов, которые готовы сделать вам скидку на день ро…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2391</w:t>
            </w:r>
          </w:p>
        </w:tc>
        <w:tc>
          <w:tcPr>
            <w:tcW w:type="dxa" w:w="1662"/>
          </w:tcPr>
          <w:p>
            <w:r>
              <w:t>144,421</w:t>
            </w:r>
          </w:p>
        </w:tc>
        <w:tc>
          <w:tcPr>
            <w:tcW w:type="dxa" w:w="1662"/>
          </w:tcPr>
          <w:p>
            <w:r>
              <w:t>0.698</w:t>
            </w:r>
          </w:p>
        </w:tc>
      </w:tr>
    </w:tbl>
    <w:p>
      <w:pPr>
        <w:spacing w:after="240"/>
        <w:jc w:val="center"/>
      </w:pPr>
      <w:r>
        <w:rPr>
          <w:i/>
          <w:sz w:val="22"/>
        </w:rPr>
        <w:t>Таблица. Top‑6 от baseline (semantic kNN) для источника №2.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Заголовок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Рубрика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возраст, дн.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просмотры</w:t>
            </w:r>
          </w:p>
        </w:tc>
        <w:tc>
          <w:tcPr>
            <w:tcW w:type="dxa" w:w="1662"/>
          </w:tcPr>
          <w:p>
            <w:r>
              <w:rPr>
                <w:b/>
              </w:rPr>
              <w:t>LTR-score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Как экономить на продуктах до 35%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2765</w:t>
            </w:r>
          </w:p>
        </w:tc>
        <w:tc>
          <w:tcPr>
            <w:tcW w:type="dxa" w:w="1662"/>
          </w:tcPr>
          <w:p>
            <w:r>
              <w:t>430,950</w:t>
            </w:r>
          </w:p>
        </w:tc>
        <w:tc>
          <w:tcPr>
            <w:tcW w:type="dxa" w:w="1662"/>
          </w:tcPr>
          <w:p>
            <w:r>
              <w:t>0.503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Как вернуть ненуж­ный подарочный сертификат и получить деньги вместо …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1016</w:t>
            </w:r>
          </w:p>
        </w:tc>
        <w:tc>
          <w:tcPr>
            <w:tcW w:type="dxa" w:w="1662"/>
          </w:tcPr>
          <w:p>
            <w:r>
              <w:t>352,000</w:t>
            </w:r>
          </w:p>
        </w:tc>
        <w:tc>
          <w:tcPr>
            <w:tcW w:type="dxa" w:w="1662"/>
          </w:tcPr>
          <w:p>
            <w:r>
              <w:t>0.347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Премиум-подписки: как ходить в биз­нес-залы и ездить на такси за счет…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316</w:t>
            </w:r>
          </w:p>
        </w:tc>
        <w:tc>
          <w:tcPr>
            <w:tcW w:type="dxa" w:w="1662"/>
          </w:tcPr>
          <w:p>
            <w:r>
              <w:t>51,700</w:t>
            </w:r>
          </w:p>
        </w:tc>
        <w:tc>
          <w:tcPr>
            <w:tcW w:type="dxa" w:w="1662"/>
          </w:tcPr>
          <w:p>
            <w:r>
              <w:t>0.337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Как живет создательница бренда мужского белья в Москве с доходом 250 …</w:t>
            </w:r>
          </w:p>
        </w:tc>
        <w:tc>
          <w:tcPr>
            <w:tcW w:type="dxa" w:w="1662"/>
          </w:tcPr>
          <w:p>
            <w:r>
              <w:t>Дневник трат</w:t>
            </w:r>
          </w:p>
        </w:tc>
        <w:tc>
          <w:tcPr>
            <w:tcW w:type="dxa" w:w="1662"/>
          </w:tcPr>
          <w:p>
            <w:r>
              <w:t>1282</w:t>
            </w:r>
          </w:p>
        </w:tc>
        <w:tc>
          <w:tcPr>
            <w:tcW w:type="dxa" w:w="1662"/>
          </w:tcPr>
          <w:p>
            <w:r>
              <w:t>48,350</w:t>
            </w:r>
          </w:p>
        </w:tc>
        <w:tc>
          <w:tcPr>
            <w:tcW w:type="dxa" w:w="1662"/>
          </w:tcPr>
          <w:p>
            <w:r>
              <w:t>0.2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Как живет инженер-программист в Санкт-Петербурге с зарплатой 165 000</w:t>
            </w:r>
          </w:p>
        </w:tc>
        <w:tc>
          <w:tcPr>
            <w:tcW w:type="dxa" w:w="1662"/>
          </w:tcPr>
          <w:p>
            <w:r>
              <w:t>Дневник трат</w:t>
            </w:r>
          </w:p>
        </w:tc>
        <w:tc>
          <w:tcPr>
            <w:tcW w:type="dxa" w:w="1662"/>
          </w:tcPr>
          <w:p>
            <w:r>
              <w:t>908</w:t>
            </w:r>
          </w:p>
        </w:tc>
        <w:tc>
          <w:tcPr>
            <w:tcW w:type="dxa" w:w="1662"/>
          </w:tcPr>
          <w:p>
            <w:r>
              <w:t>56,700</w:t>
            </w:r>
          </w:p>
        </w:tc>
        <w:tc>
          <w:tcPr>
            <w:tcW w:type="dxa" w:w="1662"/>
          </w:tcPr>
          <w:p>
            <w:r>
              <w:t>0.195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Как поздравлять всех коллег с днем рождения и не разориться</w:t>
            </w:r>
          </w:p>
        </w:tc>
        <w:tc>
          <w:tcPr>
            <w:tcW w:type="dxa" w:w="1662"/>
          </w:tcPr>
          <w:p>
            <w:r>
              <w:t>Другое</w:t>
            </w:r>
          </w:p>
        </w:tc>
        <w:tc>
          <w:tcPr>
            <w:tcW w:type="dxa" w:w="1662"/>
          </w:tcPr>
          <w:p>
            <w:r>
              <w:t>2463</w:t>
            </w:r>
          </w:p>
        </w:tc>
        <w:tc>
          <w:tcPr>
            <w:tcW w:type="dxa" w:w="1662"/>
          </w:tcPr>
          <w:p>
            <w:r>
              <w:t>38,300</w:t>
            </w:r>
          </w:p>
        </w:tc>
        <w:tc>
          <w:tcPr>
            <w:tcW w:type="dxa" w:w="1662"/>
          </w:tcPr>
          <w:p>
            <w:r>
              <w:t>0.137</w:t>
            </w:r>
          </w:p>
        </w:tc>
      </w:tr>
    </w:tbl>
    <w:p>
      <w:pPr>
        <w:spacing w:after="240"/>
        <w:jc w:val="center"/>
      </w:pPr>
      <w:r>
        <w:rPr>
          <w:i/>
          <w:sz w:val="22"/>
        </w:rPr>
        <w:t>Таблица. Top‑6 от LTR (LightGBM) для источника №2.</w:t>
      </w:r>
    </w:p>
    <w:p>
      <w:pPr>
        <w:spacing w:after="120"/>
        <w:ind w:firstLine="567"/>
        <w:jc w:val="both"/>
      </w:pPr>
      <w:r>
        <w:t>Содержательно различия видны сразу. Baseline ориентируется только на близость текста и поднимает наверх семантически близкие материалы безотносительно их популярности и возраста — поэтому в его top‑6 встречаются давно устаревшие статьи с маленькой аудиторией. LTR при той же тематике подтягивает вверх материалы с заметно большей реальной популярностью и более свежие — это прямой эффект признаков log_views и freshness, которые модель оказывается в состоянии комбинировать с семантикой.</w:t>
      </w:r>
    </w:p>
    <w:p>
      <w:pPr>
        <w:pStyle w:val="Heading1"/>
      </w:pPr>
      <w:r>
        <w:t>12. Обсуждение и направления развития</w:t>
      </w:r>
    </w:p>
    <w:p>
      <w:pPr>
        <w:pStyle w:val="ListBullet"/>
        <w:spacing w:after="40"/>
      </w:pPr>
      <w:r>
        <w:t>Online A/B — самое естественное продолжение работы: только онлайн позволит честно сравнить нашу выдачу с продакшен‑системой, потому что только онлайн можно показать пользователю кандидатов из своих пулов и собрать клики по ним.</w:t>
      </w:r>
    </w:p>
    <w:p>
      <w:pPr>
        <w:pStyle w:val="ListBullet"/>
        <w:spacing w:after="40"/>
      </w:pPr>
      <w:r>
        <w:t>Sequence‑aware ранжирование (SASRec / BERT4Rec) [24, 25]: если в продукте появится требование персонализации внутри блока «Что ещё мы писали», логичный шаг — учить трансформер по последовательности недавно прочитанных статей.</w:t>
      </w:r>
    </w:p>
    <w:p>
      <w:pPr>
        <w:pStyle w:val="ListBullet"/>
        <w:spacing w:after="40"/>
      </w:pPr>
      <w:r>
        <w:t>Diversity‑aware loss: вместо жёстких правил можно встраивать diversity напрямую в loss, например через DPP (Determinantal Point Processes) или DPR‑подобные подходы. Это даст более тонкий контроль, но потребует более долгого онлайн‑тюнинга.</w:t>
      </w:r>
    </w:p>
    <w:p>
      <w:pPr>
        <w:pStyle w:val="ListBullet"/>
        <w:spacing w:after="40"/>
      </w:pPr>
      <w:r>
        <w:t>ANN‑индекс (HNSW) — пока избыточен, но станет полезен, если каталог вырастет на порядок и появятся требования по тёплому реалтайму.</w:t>
      </w:r>
    </w:p>
    <w:p>
      <w:pPr>
        <w:pStyle w:val="ListBullet"/>
        <w:spacing w:after="40"/>
      </w:pPr>
      <w:r>
        <w:t>Inter‑level distillation: учить LTR на soft‑labels от двухбашенной модели [30] — потенциально снижает variance целевой переменной и помогает на хвосте каталога, где кликов мало.</w:t>
      </w:r>
    </w:p>
    <w:p>
      <w:pPr>
        <w:pStyle w:val="ListBullet"/>
        <w:spacing w:after="40"/>
      </w:pPr>
      <w:r>
        <w:t>Periodic propensity re‑estimation: сейчас p̂(click|pos) считается разово на train; в продакшене стоит пересчитывать его по скользящему окну, чтобы отражать сезонные изменения CTR.</w:t>
      </w:r>
    </w:p>
    <w:p>
      <w:pPr>
        <w:spacing w:after="120"/>
        <w:ind w:firstLine="567"/>
        <w:jc w:val="both"/>
      </w:pPr>
      <w:r>
        <w:t>Главный методологический вывод: пайплайн «ретрив + LTR + правила» остаётся отличным компромиссом между точностью, понятностью и управляемостью. ML‑модель учит ровно то, что у неё получается лучше, чем у эвристик, а правила оставляют редакции и продукту контроль над итоговой выдачей.</w:t>
      </w:r>
    </w:p>
    <w:p>
      <w:r>
        <w:br w:type="page"/>
      </w:r>
    </w:p>
    <w:p>
      <w:pPr>
        <w:pStyle w:val="Heading1"/>
      </w:pPr>
      <w:r>
        <w:t>Литература</w:t>
      </w:r>
    </w:p>
    <w:p>
      <w:pPr>
        <w:spacing w:after="80"/>
        <w:ind w:left="340"/>
      </w:pPr>
      <w:r>
        <w:rPr>
          <w:b/>
        </w:rPr>
        <w:t xml:space="preserve">[1] </w:t>
      </w:r>
      <w:r>
        <w:t xml:space="preserve">Burges, C. J. C. (2010). From RankNet to LambdaRank to LambdaMART: An Overview. Microsoft Research Tech Report MSR‑TR‑2010‑82. </w:t>
      </w:r>
      <w:r>
        <w:rPr>
          <w:i/>
          <w:color w:val="3366CC"/>
        </w:rPr>
        <w:t>https://www.microsoft.com/en-us/research/publication/from-ranknet-to-lambdarank-to-lambdamart-an-overview/</w:t>
      </w:r>
    </w:p>
    <w:p>
      <w:pPr>
        <w:spacing w:after="80"/>
        <w:ind w:left="340"/>
      </w:pPr>
      <w:r>
        <w:rPr>
          <w:b/>
        </w:rPr>
        <w:t xml:space="preserve">[2] </w:t>
      </w:r>
      <w:r>
        <w:t xml:space="preserve">Ke, G., Meng, Q., Finley, T. et al. (2017). LightGBM: A Highly Efficient Gradient Boosting Decision Tree. NeurIPS. </w:t>
      </w:r>
      <w:r>
        <w:rPr>
          <w:i/>
          <w:color w:val="3366CC"/>
        </w:rPr>
        <w:t>https://papers.nips.cc/paper_files/paper/2017/hash/6449f44a102fde848669bdd9eb6b76fa-Abstract.html</w:t>
      </w:r>
    </w:p>
    <w:p>
      <w:pPr>
        <w:spacing w:after="80"/>
        <w:ind w:left="340"/>
      </w:pPr>
      <w:r>
        <w:rPr>
          <w:b/>
        </w:rPr>
        <w:t xml:space="preserve">[3] </w:t>
      </w:r>
      <w:r>
        <w:t xml:space="preserve">Prokhorenkova, L., Gusev, G., Vorobev, A., Dorogush, A. V., Gulin, A. (2018). CatBoost: Unbiased Boosting with Categorical Features. NeurIPS. </w:t>
      </w:r>
      <w:r>
        <w:rPr>
          <w:i/>
          <w:color w:val="3366CC"/>
        </w:rPr>
        <w:t>https://papers.nips.cc/paper_files/paper/2018/hash/14491b756b3a51daac41c24863285549-Abstract.html</w:t>
      </w:r>
    </w:p>
    <w:p>
      <w:pPr>
        <w:spacing w:after="80"/>
        <w:ind w:left="340"/>
      </w:pPr>
      <w:r>
        <w:rPr>
          <w:b/>
        </w:rPr>
        <w:t xml:space="preserve">[4] </w:t>
      </w:r>
      <w:r>
        <w:t xml:space="preserve">Joachims, T., Swaminathan, A., Schnabel, T. (2017). Unbiased Learning‑to‑Rank with Biased Feedback. WSDM ’17. </w:t>
      </w:r>
      <w:r>
        <w:rPr>
          <w:i/>
          <w:color w:val="3366CC"/>
        </w:rPr>
        <w:t>https://www.cs.cornell.edu/people/tj/publications/joachims_etal_17a.pdf</w:t>
      </w:r>
    </w:p>
    <w:p>
      <w:pPr>
        <w:spacing w:after="80"/>
        <w:ind w:left="340"/>
      </w:pPr>
      <w:r>
        <w:rPr>
          <w:b/>
        </w:rPr>
        <w:t xml:space="preserve">[5] </w:t>
      </w:r>
      <w:r>
        <w:t xml:space="preserve">Wang, X., Bendersky, M., Metzler, D., Najork, M. (2018). Position Bias Estimation for Unbiased Learning to Rank in Personal Search. WSDM ’18. </w:t>
      </w:r>
      <w:r>
        <w:rPr>
          <w:i/>
          <w:color w:val="3366CC"/>
        </w:rPr>
        <w:t>https://research.google/pubs/pub46485/</w:t>
      </w:r>
    </w:p>
    <w:p>
      <w:pPr>
        <w:spacing w:after="80"/>
        <w:ind w:left="340"/>
      </w:pPr>
      <w:r>
        <w:rPr>
          <w:b/>
        </w:rPr>
        <w:t xml:space="preserve">[6] </w:t>
      </w:r>
      <w:r>
        <w:t xml:space="preserve">Carbonell, J., Goldstein, J. (1998). The Use of MMR, Diversity‑Based Reranking for Reordering Documents and Producing Summaries. SIGIR ’98. </w:t>
      </w:r>
      <w:r>
        <w:rPr>
          <w:i/>
          <w:color w:val="3366CC"/>
        </w:rPr>
        <w:t>https://dl.acm.org/doi/10.1145/290941.291025</w:t>
      </w:r>
    </w:p>
    <w:p>
      <w:pPr>
        <w:spacing w:after="80"/>
        <w:ind w:left="340"/>
      </w:pPr>
      <w:r>
        <w:rPr>
          <w:b/>
        </w:rPr>
        <w:t xml:space="preserve">[7] </w:t>
      </w:r>
      <w:r>
        <w:t xml:space="preserve">Reimers, N., Gurevych, I. (2019). Sentence‑BERT: Sentence Embeddings using Siamese BERT‑Networks. EMNLP ’19. </w:t>
      </w:r>
      <w:r>
        <w:rPr>
          <w:i/>
          <w:color w:val="3366CC"/>
        </w:rPr>
        <w:t>https://arxiv.org/abs/1908.10084</w:t>
      </w:r>
    </w:p>
    <w:p>
      <w:pPr>
        <w:spacing w:after="80"/>
        <w:ind w:left="340"/>
      </w:pPr>
      <w:r>
        <w:rPr>
          <w:b/>
        </w:rPr>
        <w:t xml:space="preserve">[8] </w:t>
      </w:r>
      <w:r>
        <w:t xml:space="preserve">Ricci, F., Rokach, L., Shapira, B. (eds.) (2015). Recommender Systems Handbook (2nd ed.). Springer. </w:t>
      </w:r>
      <w:r>
        <w:rPr>
          <w:i/>
          <w:color w:val="3366CC"/>
        </w:rPr>
        <w:t>https://link.springer.com/book/10.1007/978-1-4899-7637-6</w:t>
      </w:r>
    </w:p>
    <w:p>
      <w:pPr>
        <w:spacing w:after="80"/>
        <w:ind w:left="340"/>
      </w:pPr>
      <w:r>
        <w:rPr>
          <w:b/>
        </w:rPr>
        <w:t xml:space="preserve">[9] </w:t>
      </w:r>
      <w:r>
        <w:t xml:space="preserve">Covington, P., Adams, J., Sargin, E. (2016). Deep Neural Networks for YouTube Recommendations. RecSys ’16. </w:t>
      </w:r>
      <w:r>
        <w:rPr>
          <w:i/>
          <w:color w:val="3366CC"/>
        </w:rPr>
        <w:t>https://research.google/pubs/pub45530/</w:t>
      </w:r>
    </w:p>
    <w:p>
      <w:pPr>
        <w:spacing w:after="80"/>
        <w:ind w:left="340"/>
      </w:pPr>
      <w:r>
        <w:rPr>
          <w:b/>
        </w:rPr>
        <w:t xml:space="preserve">[10] </w:t>
      </w:r>
      <w:r>
        <w:t xml:space="preserve">Eksombatchai, C., Jindal, P., Liu, J. Z. et al. (2018). Pixie: A System for Recommending 3+ Billion Items to 200+ Million Users in Real‑Time (Pinterest). WWW ’18. </w:t>
      </w:r>
      <w:r>
        <w:rPr>
          <w:i/>
          <w:color w:val="3366CC"/>
        </w:rPr>
        <w:t>https://arxiv.org/abs/1711.07601</w:t>
      </w:r>
    </w:p>
    <w:p>
      <w:pPr>
        <w:spacing w:after="80"/>
        <w:ind w:left="340"/>
      </w:pPr>
      <w:r>
        <w:rPr>
          <w:b/>
        </w:rPr>
        <w:t xml:space="preserve">[11] </w:t>
      </w:r>
      <w:r>
        <w:t xml:space="preserve">Manning, C. D., Raghavan, P., Schütze, H. (2008). Introduction to Information Retrieval. Cambridge University Press. </w:t>
      </w:r>
      <w:r>
        <w:rPr>
          <w:i/>
          <w:color w:val="3366CC"/>
        </w:rPr>
        <w:t>https://nlp.stanford.edu/IR-book/</w:t>
      </w:r>
    </w:p>
    <w:p>
      <w:pPr>
        <w:spacing w:after="80"/>
        <w:ind w:left="340"/>
      </w:pPr>
      <w:r>
        <w:rPr>
          <w:b/>
        </w:rPr>
        <w:t xml:space="preserve">[12] </w:t>
      </w:r>
      <w:r>
        <w:t xml:space="preserve">Wang, Y., Wang, L., Li, Y., He, D., Chen, W., Liu, T.-Y. (2013). A Theoretical Analysis of NDCG Type Ranking Measures. COLT ’13. </w:t>
      </w:r>
      <w:r>
        <w:rPr>
          <w:i/>
          <w:color w:val="3366CC"/>
        </w:rPr>
        <w:t>https://arxiv.org/abs/1304.6480</w:t>
      </w:r>
    </w:p>
    <w:p>
      <w:pPr>
        <w:spacing w:after="80"/>
        <w:ind w:left="340"/>
      </w:pPr>
      <w:r>
        <w:rPr>
          <w:b/>
        </w:rPr>
        <w:t xml:space="preserve">[13] </w:t>
      </w:r>
      <w:r>
        <w:t xml:space="preserve">Schnabel, T., Swaminathan, A., Singh, A., Chandak, N., Joachims, T. (2016). Recommendations as Treatments: Debiasing Learning and Evaluation. ICML ’16. </w:t>
      </w:r>
      <w:r>
        <w:rPr>
          <w:i/>
          <w:color w:val="3366CC"/>
        </w:rPr>
        <w:t>https://arxiv.org/abs/1602.05352</w:t>
      </w:r>
    </w:p>
    <w:p>
      <w:pPr>
        <w:spacing w:after="80"/>
        <w:ind w:left="340"/>
      </w:pPr>
      <w:r>
        <w:rPr>
          <w:b/>
        </w:rPr>
        <w:t xml:space="preserve">[14] </w:t>
      </w:r>
      <w:r>
        <w:t xml:space="preserve">Sarwar, B., Karypis, G., Konstan, J., Riedl, J. (2001). Item‑Based Collaborative Filtering Recommendation Algorithms. WWW ’01. </w:t>
      </w:r>
      <w:r>
        <w:rPr>
          <w:i/>
          <w:color w:val="3366CC"/>
        </w:rPr>
        <w:t>https://dl.acm.org/doi/10.1145/371920.372071</w:t>
      </w:r>
    </w:p>
    <w:p>
      <w:pPr>
        <w:spacing w:after="80"/>
        <w:ind w:left="340"/>
      </w:pPr>
      <w:r>
        <w:rPr>
          <w:b/>
        </w:rPr>
        <w:t xml:space="preserve">[15] </w:t>
      </w:r>
      <w:r>
        <w:t xml:space="preserve">Linden, G., Smith, B., York, J. (2003). Amazon.com Recommendations: Item‑to‑Item Collaborative Filtering. IEEE Internet Computing. </w:t>
      </w:r>
      <w:r>
        <w:rPr>
          <w:i/>
          <w:color w:val="3366CC"/>
        </w:rPr>
        <w:t>https://ieeexplore.ieee.org/document/1167344</w:t>
      </w:r>
    </w:p>
    <w:p>
      <w:pPr>
        <w:spacing w:after="80"/>
        <w:ind w:left="340"/>
      </w:pPr>
      <w:r>
        <w:rPr>
          <w:b/>
        </w:rPr>
        <w:t xml:space="preserve">[16] </w:t>
      </w:r>
      <w:r>
        <w:t xml:space="preserve">scikit‑learn: NearestNeighbors documentation. </w:t>
      </w:r>
      <w:r>
        <w:rPr>
          <w:i/>
          <w:color w:val="3366CC"/>
        </w:rPr>
        <w:t>https://scikit-learn.org/stable/modules/neighbors.html</w:t>
      </w:r>
    </w:p>
    <w:p>
      <w:pPr>
        <w:spacing w:after="80"/>
        <w:ind w:left="340"/>
      </w:pPr>
      <w:r>
        <w:rPr>
          <w:b/>
        </w:rPr>
        <w:t xml:space="preserve">[17] </w:t>
      </w:r>
      <w:r>
        <w:t xml:space="preserve">LightGBM documentation: LGBMRanker. </w:t>
      </w:r>
      <w:r>
        <w:rPr>
          <w:i/>
          <w:color w:val="3366CC"/>
        </w:rPr>
        <w:t>https://lightgbm.readthedocs.io/en/stable/pythonapi/lightgbm.LGBMRanker.html</w:t>
      </w:r>
    </w:p>
    <w:p>
      <w:pPr>
        <w:spacing w:after="80"/>
        <w:ind w:left="340"/>
      </w:pPr>
      <w:r>
        <w:rPr>
          <w:b/>
        </w:rPr>
        <w:t xml:space="preserve">[18] </w:t>
      </w:r>
      <w:r>
        <w:t xml:space="preserve">CatBoost documentation: CatBoostRanker. </w:t>
      </w:r>
      <w:r>
        <w:rPr>
          <w:i/>
          <w:color w:val="3366CC"/>
        </w:rPr>
        <w:t>https://catboost.ai/en/docs/concepts/python-reference_catboostranker</w:t>
      </w:r>
    </w:p>
    <w:p>
      <w:pPr>
        <w:spacing w:after="80"/>
        <w:ind w:left="340"/>
      </w:pPr>
      <w:r>
        <w:rPr>
          <w:b/>
        </w:rPr>
        <w:t xml:space="preserve">[19] </w:t>
      </w:r>
      <w:r>
        <w:t xml:space="preserve">Sentence‑Transformers documentation. </w:t>
      </w:r>
      <w:r>
        <w:rPr>
          <w:i/>
          <w:color w:val="3366CC"/>
        </w:rPr>
        <w:t>https://www.sbert.net/</w:t>
      </w:r>
    </w:p>
    <w:p>
      <w:pPr>
        <w:spacing w:after="80"/>
        <w:ind w:left="340"/>
      </w:pPr>
      <w:r>
        <w:rPr>
          <w:b/>
        </w:rPr>
        <w:t xml:space="preserve">[20] </w:t>
      </w:r>
      <w:r>
        <w:t xml:space="preserve">deepvk/USER‑bge‑m3 — Hugging Face model card. </w:t>
      </w:r>
      <w:r>
        <w:rPr>
          <w:i/>
          <w:color w:val="3366CC"/>
        </w:rPr>
        <w:t>https://huggingface.co/deepvk/USER-bge-m3</w:t>
      </w:r>
    </w:p>
    <w:p>
      <w:pPr>
        <w:spacing w:after="80"/>
        <w:ind w:left="340"/>
      </w:pPr>
      <w:r>
        <w:rPr>
          <w:b/>
        </w:rPr>
        <w:t xml:space="preserve">[21] </w:t>
      </w:r>
      <w:r>
        <w:t xml:space="preserve">Apache Parquet specification. </w:t>
      </w:r>
      <w:r>
        <w:rPr>
          <w:i/>
          <w:color w:val="3366CC"/>
        </w:rPr>
        <w:t>https://parquet.apache.org/docs/</w:t>
      </w:r>
    </w:p>
    <w:p>
      <w:pPr>
        <w:spacing w:after="80"/>
        <w:ind w:left="340"/>
      </w:pPr>
      <w:r>
        <w:rPr>
          <w:b/>
        </w:rPr>
        <w:t xml:space="preserve">[22] </w:t>
      </w:r>
      <w:r>
        <w:t xml:space="preserve">Bell, R. M., Koren, Y. (2007). Lessons from the Netflix Prize Challenge. ACM SIGKDD Explorations. </w:t>
      </w:r>
      <w:r>
        <w:rPr>
          <w:i/>
          <w:color w:val="3366CC"/>
        </w:rPr>
        <w:t>https://dl.acm.org/doi/10.1145/1345448.1345465</w:t>
      </w:r>
    </w:p>
    <w:p>
      <w:pPr>
        <w:spacing w:after="80"/>
        <w:ind w:left="340"/>
      </w:pPr>
      <w:r>
        <w:rPr>
          <w:b/>
        </w:rPr>
        <w:t xml:space="preserve">[23] </w:t>
      </w:r>
      <w:r>
        <w:t xml:space="preserve">He, X., Liao, L., Zhang, H., Nie, L., Hu, X., Chua, T.-S. (2017). Neural Collaborative Filtering. WWW ’17. </w:t>
      </w:r>
      <w:r>
        <w:rPr>
          <w:i/>
          <w:color w:val="3366CC"/>
        </w:rPr>
        <w:t>https://arxiv.org/abs/1708.05031</w:t>
      </w:r>
    </w:p>
    <w:p>
      <w:pPr>
        <w:spacing w:after="80"/>
        <w:ind w:left="340"/>
      </w:pPr>
      <w:r>
        <w:rPr>
          <w:b/>
        </w:rPr>
        <w:t xml:space="preserve">[24] </w:t>
      </w:r>
      <w:r>
        <w:t xml:space="preserve">Kang, W.-C., McAuley, J. (2018). Self‑Attentive Sequential Recommendation (SASRec). ICDM ’18. </w:t>
      </w:r>
      <w:r>
        <w:rPr>
          <w:i/>
          <w:color w:val="3366CC"/>
        </w:rPr>
        <w:t>https://arxiv.org/abs/1808.09781</w:t>
      </w:r>
    </w:p>
    <w:p>
      <w:pPr>
        <w:spacing w:after="80"/>
        <w:ind w:left="340"/>
      </w:pPr>
      <w:r>
        <w:rPr>
          <w:b/>
        </w:rPr>
        <w:t xml:space="preserve">[25] </w:t>
      </w:r>
      <w:r>
        <w:t xml:space="preserve">Sun, F., Liu, J., Wu, J., Pei, C., Lin, X., Ou, W., Jiang, P. (2019). BERT4Rec: Sequential Recommendation with BERT. CIKM ’19. </w:t>
      </w:r>
      <w:r>
        <w:rPr>
          <w:i/>
          <w:color w:val="3366CC"/>
        </w:rPr>
        <w:t>https://arxiv.org/abs/1904.06690</w:t>
      </w:r>
    </w:p>
    <w:p>
      <w:pPr>
        <w:spacing w:after="80"/>
        <w:ind w:left="340"/>
      </w:pPr>
      <w:r>
        <w:rPr>
          <w:b/>
        </w:rPr>
        <w:t xml:space="preserve">[26] </w:t>
      </w:r>
      <w:r>
        <w:t xml:space="preserve">Ying, R., He, R., Chen, K., Eksombatchai, P., Hamilton, W. L., Leskovec, J. (2018). Graph Convolutional Neural Networks for Web‑Scale Recommender Systems (PinSAGE). KDD ’18. </w:t>
      </w:r>
      <w:r>
        <w:rPr>
          <w:i/>
          <w:color w:val="3366CC"/>
        </w:rPr>
        <w:t>https://arxiv.org/abs/1806.01973</w:t>
      </w:r>
    </w:p>
    <w:p>
      <w:pPr>
        <w:spacing w:after="80"/>
        <w:ind w:left="340"/>
      </w:pPr>
      <w:r>
        <w:rPr>
          <w:b/>
        </w:rPr>
        <w:t xml:space="preserve">[27] </w:t>
      </w:r>
      <w:r>
        <w:t xml:space="preserve">Rendle, S., Freudenthaler, C., Gantner, Z., Schmidt‑Thieme, L. (2009). BPR: Bayesian Personalized Ranking from Implicit Feedback. UAI ’09. </w:t>
      </w:r>
      <w:r>
        <w:rPr>
          <w:i/>
          <w:color w:val="3366CC"/>
        </w:rPr>
        <w:t>https://arxiv.org/abs/1205.2618</w:t>
      </w:r>
    </w:p>
    <w:p>
      <w:pPr>
        <w:spacing w:after="80"/>
        <w:ind w:left="340"/>
      </w:pPr>
      <w:r>
        <w:rPr>
          <w:b/>
        </w:rPr>
        <w:t xml:space="preserve">[28] </w:t>
      </w:r>
      <w:r>
        <w:t xml:space="preserve">Hu, Y., Koren, Y., Volinsky, C. (2008). Collaborative Filtering for Implicit Feedback Datasets. ICDM ’08. </w:t>
      </w:r>
      <w:r>
        <w:rPr>
          <w:i/>
          <w:color w:val="3366CC"/>
        </w:rPr>
        <w:t>https://yifanhu.net/PUB/cf.pdf</w:t>
      </w:r>
    </w:p>
    <w:p>
      <w:pPr>
        <w:spacing w:after="80"/>
        <w:ind w:left="340"/>
      </w:pPr>
      <w:r>
        <w:rPr>
          <w:b/>
        </w:rPr>
        <w:t xml:space="preserve">[29] </w:t>
      </w:r>
      <w:r>
        <w:t xml:space="preserve">Karpukhin, V., Oguz, B., Min, S. et al. (2020). Dense Passage Retrieval for Open‑Domain Question Answering. EMNLP ’20. </w:t>
      </w:r>
      <w:r>
        <w:rPr>
          <w:i/>
          <w:color w:val="3366CC"/>
        </w:rPr>
        <w:t>https://arxiv.org/abs/2004.04906</w:t>
      </w:r>
    </w:p>
    <w:p>
      <w:pPr>
        <w:spacing w:after="80"/>
        <w:ind w:left="340"/>
      </w:pPr>
      <w:r>
        <w:rPr>
          <w:b/>
        </w:rPr>
        <w:t xml:space="preserve">[30] </w:t>
      </w:r>
      <w:r>
        <w:t xml:space="preserve">Yi, X., Yang, J., Hong, L. et al. (2019). Sampling‑Bias‑Corrected Neural Modeling for Large Corpus Item Recommendations (Two‑Tower). RecSys ’19. </w:t>
      </w:r>
      <w:r>
        <w:rPr>
          <w:i/>
          <w:color w:val="3366CC"/>
        </w:rPr>
        <w:t>https://research.google/pubs/pub48840/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