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/>
          <w:b/>
          <w:i w:val="0"/>
          <w:color w:val="0B1D3A"/>
          <w:sz w:val="44"/>
        </w:rPr>
        <w:t>План рассказа на предзащиту</w:t>
      </w:r>
    </w:p>
    <w:p>
      <w:r>
        <w:rPr>
          <w:b w:val="0"/>
          <w:i/>
          <w:color w:val="787878"/>
          <w:sz w:val="22"/>
        </w:rPr>
        <w:t>Два сегмента  ·  ~6 минут  ·  12 слайдов</w:t>
        <w:br/>
        <w:t>Часть 1 (~4 мин): Архитектура → Кандидаты → LTR → Фичи → Метрики → Карусель</w:t>
        <w:br/>
        <w:t>Часть 2 (~2 мин): Стратегия → Параллельный онбординг → Гибкие форматы → Контекстные подписи → Знание о читателе → Вариант будущего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1"/>
      </w:pPr>
      <w:r>
        <w:rPr>
          <w:rFonts w:ascii="Helvetica" w:hAnsi="Helvetica"/>
          <w:b/>
          <w:i w:val="0"/>
          <w:color w:val="1F6FEB"/>
          <w:sz w:val="28"/>
        </w:rPr>
        <w:t>Часть 1. Технический рассказ про систему рекомендаций (≈ 3.5–4 минуты)</w:t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 24 — Архитектура (общая схема)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~30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Архитектура решения — двухпуловая. Из 100 тысяч статей каталога мы под каждый источник за миллисекунды отбираем ~200 кандидатов, ранжируем их LTR-моделью и собираем итоговую карусель из 12 позиций с продуктовыми правилами. Каждый из этих трёх блоков — Retrieval, Ranking, Reranking — решает свою чёткую задачу, и сейчас я кратко расскажу про каждый.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Начнём с того, откуда берутся кандидаты. → слайд 26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 26 — Генерация кандидатов (два пула)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~45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У нас два независимых пула. Similar — это похожие статьи: top-100 по cosine-близости текстовых эмбеддингов плюс top-50 поведенческих соседей из coview-индекса. Cosine ловит «то же самое перефразированное», coview — «то, что обычно читают после», даже если оно семантически далеко. Explore — пул разнообразия: топ по quality + trend внутри департамента и глобально, чтобы карусель не зацикливалась на одной теме. Они дают суммарно около 200 кандидатов на источник.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Теперь нужно из этих 200 выбрать 12. Это делает LTR. → слайд 28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Слайды 28–29 — Ранжирование (LTR)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~50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Ранжирует двухголовый LTR — LightGBM LambdaRank и CatBoost YetiRank. На вход — 17 признаков: семантика, поведение, популярность, свежесть, кросс-характеристики. Обучаем на 22 миллионах строк логов показов/кликов с поправкой на позиционный bias через propensity weighting. Если у источника одновременно нет coview-соседей и статья совсем свежая — переключаемся на эвристический скор «sim + popularity + freshness + rubric». Это узкая страховка под cold-start — на полном каталоге она затрагивает 27 статей из 104 тысяч.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Что модель в итоге считает важным — на следующем слайде. → слайд 30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 30 — Важность признаков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~20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Топ-5 — sim, src_log_views, src_like_rate, разница возрастов и свежесть источника. Coview-признаки — на 13–14 местах из 17, но они дают свой вклад: без них recall@1 падает с 0.41 до 0.40. Главный вывод — модель опирается на смесь семантики, статистики и поведения, а не на один источник.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Теперь — сами метрики. → слайд 31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 31 — Результаты LTR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~40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Главный замер — на i2i-тесте, 20 тысяч валидных групп. LightGBM поднимает Recall@1 с 31 до 41 % — то есть в 41 % показов кликнутая статья теперь стоит первой, а не где-то ниже. По nDCG@6 — рост с 0.70 до 0.75, по MRR@6 — с 0.60 до 0.67. CatBoost чуть впереди. Это нижняя оценка реального онлайн-эффекта — selection bias логов снизу подрезает разницу.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Финальный шаг — из отранжированных 200 кандидатов собрать 12 видимых. → слайд 32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Слайды 32–33 — Формирование карусели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~45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Карусель — это не просто top-12 по скору. Это 9 similar + 3 explore, причём explore идут на фиксированных позициях 4, 7 и 10, чтобы разнообразие было распределено по всей выдаче, а не свалено в хвост. Поверх — продуктовые правила: не более 2 статей одного автора, не более 6 одной рубрики, дедуп по нормализованному заголовку, фильтр старше года, блок-лист «опасных» кросс-дептовых переходов. Explore дополнительно семплируется через softmax — чтобы у разных источников верхние слоты не были одинаковыми. На выходе — стабильные 12 статей со флагом scoring_mode для мониторинга.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Так из 100 тысяч статей за один прогон формируется персонализированная карусель из 12. Пример выдач — на следующем слайде.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1"/>
      </w:pPr>
      <w:r>
        <w:rPr>
          <w:rFonts w:ascii="Helvetica" w:hAnsi="Helvetica"/>
          <w:b/>
          <w:i w:val="0"/>
          <w:color w:val="1F6FEB"/>
          <w:sz w:val="28"/>
        </w:rPr>
        <w:t>Часть 2. Видение и стратегия развития (≈ 2 минуты)</w:t>
      </w:r>
    </w:p>
    <w:p>
      <w:r>
        <w:rPr>
          <w:rFonts w:ascii="Helvetica" w:hAnsi="Helvetica"/>
          <w:b w:val="0"/>
          <w:i/>
          <w:color w:val="787878"/>
          <w:sz w:val="20"/>
        </w:rPr>
        <w:t>Этот сегмент — про то, куда логично развивать систему дальше. Цифр почти нет, тон — визионерский, опираемся на названия слайдов и общие идеи. Главная мысль для каждого слайда подана одной фразой плюс одной фразой пояснения.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 40 — Стратегия: Как мы видим Т—Ж будущего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~20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Мы построили MVP — единую ML-карусель для новичков. Это первый шаг. Дальше — четыре направления, в которые логично развивать систему, чтобы Т—Ж стал персональным медиа уже с первой сессии, а не «после первого захода».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Первое направление — научиться узнавать пользователя в моменте, без анкет. → слайд 41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 41 — Параллельный онбординг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~25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Сейчас мы у пользователя ничего не спрашиваем — он просто читает. Идея — собирать сигналы интереса параллельно с чтением: микро-клики, глубина скролла, время на абзаце, hover на ссылках. Это даёт неявную «анкету» без отвлекающих pop-up-ов и работает уже с первой страницы.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Сигналы собираем — теперь нужно их где-то использовать. Не только в одной карусели. → слайд 42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 42 — Гибкие форматы рекомендаций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~25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Сегодня рекомендации — одна карусель внизу статьи. Но контекст у пользователя бывает разный: кому-то лучше боковая колонка, кому-то — inline-вставка между параграфами, кому-то — bottom-sheet на мобильном. Идея — ML выбирает не только что показать, но и в каком формате это будет уместно именно сейчас.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Каждый формат должен объяснять пользователю «почему именно эта статья». → слайд 43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 43 — Контекстные подписи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~25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Гипотеза «краткие описания», которую мы сейчас выводим в A/B, — это начало. Следующий шаг — подписи, зависящие от контекста: «продолжение темы», «базовый разбор для новичков», «глубже в детали для экспертов». Они снижают цену клика: пользователь сразу видит, зачем ему конкретно эта статья.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Чтобы такие подписи и форматы были осмысленными — нужна модель пользователя. → слайд 44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 44 — Идеальное знание о читателе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~25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В идеале мы хотим прийти к полноценной модели пользователя по первой же сессии: интент (утилитарный, исследующий, серфинг), экспертный уровень, тематические предпочтения, эмоциональный тон. Сейчас всё это либо отсутствует, либо собирается по косвенным признакам. С этими сигналами наш i2i превращается в полноценный персональный stream.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Соберём всё вместе на одном экране. → слайд 45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2"/>
      </w:pPr>
      <w:r>
        <w:rPr>
          <w:rFonts w:ascii="Helvetica" w:hAnsi="Helvetica"/>
          <w:b/>
          <w:i w:val="0"/>
          <w:color w:val="282828"/>
          <w:sz w:val="24"/>
        </w:rPr>
        <w:t>Слайд 45 — Вариант будущего</w:t>
      </w:r>
    </w:p>
    <w:p>
      <w:r>
        <w:rPr>
          <w:b/>
          <w:i w:val="0"/>
          <w:color w:val="282828"/>
          <w:sz w:val="22"/>
        </w:rPr>
        <w:t xml:space="preserve">Длительность: </w:t>
      </w:r>
      <w:r>
        <w:rPr>
          <w:b w:val="0"/>
          <w:i w:val="0"/>
          <w:sz w:val="22"/>
        </w:rPr>
        <w:t>~20 сек</w:t>
      </w:r>
    </w:p>
    <w:p>
      <w:r>
        <w:rPr>
          <w:rFonts w:ascii="Helvetica" w:hAnsi="Helvetica"/>
          <w:b w:val="0"/>
          <w:i w:val="0"/>
          <w:color w:val="282828"/>
          <w:sz w:val="22"/>
        </w:rPr>
        <w:t>Реплика:</w:t>
      </w:r>
    </w:p>
    <w:p>
      <w:r>
        <w:rPr>
          <w:rFonts w:ascii="Helvetica" w:hAnsi="Helvetica"/>
          <w:b w:val="0"/>
          <w:i w:val="0"/>
          <w:sz w:val="24"/>
        </w:rPr>
        <w:t>На этом видео — собранная картинка того, как это могло бы выглядеть в одном продуктовом сценарии. Лента из нескольких форматов, контекстные подписи, незаметный онбординг — и в центре адаптивная карусель, в которую под капотом встроена наша текущая ML-модель. Каждый из четырёх кирпичей мы можем добавлять инкрементально, не ломая то, что уже работает.</w:t>
      </w:r>
    </w:p>
    <w:p>
      <w:r>
        <w:rPr>
          <w:rFonts w:ascii="Helvetica" w:hAnsi="Helvetica"/>
          <w:b w:val="0"/>
          <w:i/>
          <w:color w:val="787878"/>
          <w:sz w:val="20"/>
        </w:rPr>
        <w:t>Переход: На этом основная часть закончена — спасибо. Готов ответить на вопросы или показать детали в приложении.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1"/>
      </w:pPr>
      <w:r>
        <w:rPr>
          <w:rFonts w:ascii="Helvetica" w:hAnsi="Helvetica"/>
          <w:b/>
          <w:i w:val="0"/>
          <w:color w:val="1F6FEB"/>
          <w:sz w:val="28"/>
        </w:rPr>
        <w:t>Тайминги (ориентир)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i w:val="0"/>
                <w:sz w:val="22"/>
              </w:rPr>
              <w:t>Слайд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sz w:val="22"/>
              </w:rPr>
              <w:t>Время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color w:val="1F6FEB"/>
                <w:sz w:val="20"/>
              </w:rPr>
              <w:t>ЧАСТЬ 1 — Технический рассказ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1F6FEB"/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 24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~30 сек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 26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~45 сек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Слайды 28–29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~50 сек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 30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~20 сек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 31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~40 сек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Слайды 32–33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~45 сек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color w:val="1F6FEB"/>
                <w:sz w:val="20"/>
              </w:rPr>
              <w:t>ЧАСТЬ 2 — Видение и стратегия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1F6FEB"/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 40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~20 сек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 41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~25 сек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 42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~25 сек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 43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~25 сек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 44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~25 сек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Слайд 45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  <w:sz w:val="20"/>
              </w:rPr>
              <w:t>~20 сек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i w:val="0"/>
                <w:color w:val="0B1D3A"/>
                <w:sz w:val="22"/>
              </w:rPr>
              <w:t>Итого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B1D3A"/>
                <w:sz w:val="22"/>
              </w:rPr>
              <w:t>~5.5–6 мин</w:t>
            </w:r>
          </w:p>
        </w:tc>
      </w:tr>
    </w:tbl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1"/>
      </w:pPr>
      <w:r>
        <w:rPr>
          <w:rFonts w:ascii="Helvetica" w:hAnsi="Helvetica"/>
          <w:b/>
          <w:i w:val="0"/>
          <w:color w:val="1F6FEB"/>
          <w:sz w:val="28"/>
        </w:rPr>
        <w:t>Три ключевых сообщения, которые держать в нитке</w:t>
      </w:r>
    </w:p>
    <w:p>
      <w:r>
        <w:rPr>
          <w:rFonts w:ascii="Helvetica" w:hAnsi="Helvetica"/>
          <w:b w:val="0"/>
          <w:i w:val="0"/>
          <w:sz w:val="24"/>
        </w:rPr>
        <w:t>Двухпуловый retrieval → LTR с 17 фичами и cold-start fallback → продуктовая сборка с интерливингом.</w:t>
      </w:r>
    </w:p>
    <w:p>
      <w:r>
        <w:rPr>
          <w:rFonts w:ascii="Helvetica" w:hAnsi="Helvetica"/>
          <w:b w:val="0"/>
          <w:i w:val="0"/>
          <w:sz w:val="22"/>
        </w:rPr>
      </w:r>
    </w:p>
    <w:p>
      <w:pPr>
        <w:pStyle w:val="Heading1"/>
      </w:pPr>
      <w:r>
        <w:rPr>
          <w:rFonts w:ascii="Helvetica" w:hAnsi="Helvetica"/>
          <w:b/>
          <w:i w:val="0"/>
          <w:color w:val="1F6FEB"/>
          <w:sz w:val="28"/>
        </w:rPr>
        <w:t>Что НЕ говорить вслух</w:t>
      </w:r>
    </w:p>
    <w:p>
      <w:r>
        <w:rPr>
          <w:rFonts w:ascii="Helvetica" w:hAnsi="Helvetica"/>
          <w:b w:val="0"/>
          <w:i/>
          <w:color w:val="787878"/>
          <w:sz w:val="20"/>
        </w:rPr>
        <w:t>Эти детали есть в материалах и могут быть в кармане для ответа на вопросы, но в основной нитке утяжелят рассказ.</w:t>
      </w:r>
    </w:p>
    <w:p>
      <w:pPr>
        <w:pStyle w:val="ListBullet"/>
      </w:pPr>
      <w:r>
        <w:rPr>
          <w:b w:val="0"/>
          <w:i w:val="0"/>
          <w:sz w:val="22"/>
        </w:rPr>
        <w:t>Точные значения MIN_COVIEW_NEIGHBORS = 3 / MIN_SOURCE_AGE_DAYS = 3 — упомянуть как «несколько соседей и младше нескольких дней», без чисел.</w:t>
      </w:r>
    </w:p>
    <w:p>
      <w:pPr>
        <w:pStyle w:val="ListBullet"/>
      </w:pPr>
      <w:r>
        <w:rPr>
          <w:b w:val="0"/>
          <w:i w:val="0"/>
          <w:sz w:val="22"/>
        </w:rPr>
        <w:t>Формулу score_cov = log p(b|a) — достаточно сказать «вероятность перехода».</w:t>
      </w:r>
    </w:p>
    <w:p>
      <w:pPr>
        <w:pStyle w:val="ListBullet"/>
      </w:pPr>
      <w:r>
        <w:rPr>
          <w:b w:val="0"/>
          <w:i w:val="0"/>
          <w:sz w:val="22"/>
        </w:rPr>
        <w:t>CatBoost vs LightGBM по отдельности на каждом слайде — упомянуть один раз и дальше говорить «LTR-модель».</w:t>
      </w:r>
    </w:p>
    <w:p>
      <w:pPr>
        <w:pStyle w:val="ListBullet"/>
      </w:pPr>
      <w:r>
        <w:rPr>
          <w:b w:val="0"/>
          <w:i w:val="0"/>
          <w:sz w:val="22"/>
        </w:rPr>
        <w:t>Цифру «20 781 групп» — округлить до «~20 тысяч».</w:t>
      </w:r>
    </w:p>
    <w:p>
      <w:pPr>
        <w:pStyle w:val="ListBullet"/>
      </w:pPr>
      <w:r>
        <w:rPr>
          <w:b w:val="0"/>
          <w:i w:val="0"/>
          <w:sz w:val="22"/>
        </w:rPr>
        <w:t>Детали про propensity_floor = 0.02 — сказать только «с поправкой на position bias».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