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F172A"/>
          <w:sz w:val="56"/>
        </w:rPr>
        <w:t>🫧 WAYAX DESIGN SYSTEM</w:t>
      </w:r>
    </w:p>
    <w:p>
      <w:pPr>
        <w:spacing w:after="480"/>
        <w:jc w:val="center"/>
      </w:pPr>
      <w:r>
        <w:rPr>
          <w:color w:val="6366F1"/>
          <w:sz w:val="26"/>
        </w:rPr>
        <w:t>Organised Design System Library Master Specification</w:t>
      </w:r>
    </w:p>
    <w:p>
      <w:pPr>
        <w:spacing w:after="2400"/>
        <w:jc w:val="center"/>
      </w:pPr>
      <w:r>
        <w:rPr>
          <w:color w:val="E2E8F0"/>
        </w:rPr>
        <w:t>____________________________________________________</w:t>
      </w:r>
    </w:p>
    <w:p>
      <w:pPr>
        <w:spacing w:after="80"/>
        <w:jc w:val="center"/>
      </w:pPr>
      <w:r>
        <w:rPr>
          <w:b/>
          <w:color w:val="475569"/>
          <w:sz w:val="19"/>
        </w:rPr>
        <w:t>SEBI COMPLIANT AI RESEARCH ADVISORY DESIGN DIRECTORY</w:t>
        <w:br/>
      </w:r>
      <w:r>
        <w:rPr>
          <w:color w:val="64748B"/>
          <w:sz w:val="19"/>
        </w:rPr>
        <w:t>Figma Community Template: 'Organising Design Systems'</w:t>
        <w:br/>
      </w:r>
      <w:r>
        <w:rPr>
          <w:color w:val="94A3B8"/>
          <w:sz w:val="18"/>
        </w:rPr>
        <w:t>IN SYNC WITH ACTIVE REACT &amp; CSS PARAMS (Version 2.1.0)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Arial" w:hAnsi="Arial"/>
          <w:b/>
          <w:color w:val="0F172A"/>
        </w:rPr>
        <w:t>Figma Page 01: Welcome, Status &amp; Principles</w:t>
      </w:r>
    </w:p>
    <w:p>
      <w:pPr>
        <w:spacing w:after="160"/>
      </w:pPr>
      <w:r>
        <w:t>Welcome to the WayaX Design System single source of truth library structure. Every frosted card in our master visual vector board maps exactly to a dedicated page inside your Figma library, keeping designers, engineers, and SEBI compliance auditors completely synchronized.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6366F1"/>
        </w:rPr>
        <w:t>A. Design Philosophy: Refractive Specularity</w:t>
      </w:r>
    </w:p>
    <w:p>
      <w:pPr>
        <w:spacing w:after="200"/>
      </w:pPr>
      <w:r>
        <w:t>WayaX rejects flat user interfaces. Trust is tactile. The design language acts as a physical, thick optical glass lens layered on top of numeric datasets, providing visual isolation and safety margins. Saturate and blur filters (blur-32px saturate-185%) are combined with a specular highlight edge line at the top border of every container to simulate realistic light physics.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6366F1"/>
        </w:rPr>
        <w:t>B. Component Matrix Status Tracker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Component Name</w:t>
            </w:r>
          </w:p>
        </w:tc>
        <w:tc>
          <w:tcPr>
            <w:tcW w:type="dxa" w:w="234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Figma Status</w:t>
            </w:r>
          </w:p>
        </w:tc>
        <w:tc>
          <w:tcPr>
            <w:tcW w:type="dxa" w:w="234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Library Page</w:t>
            </w:r>
          </w:p>
        </w:tc>
        <w:tc>
          <w:tcPr>
            <w:tcW w:type="dxa" w:w="234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React Variable / Hook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Frosted Action Buttons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0B981"/>
                <w:sz w:val="17"/>
              </w:rPr>
              <w:t>READY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Page 03: Component Library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.liquid-glass-button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Recessed Search Wells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0B981"/>
                <w:sz w:val="17"/>
              </w:rPr>
              <w:t>READY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Page 03: Component Library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.liquid-glass-input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Advisory Stock Table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0B981"/>
                <w:sz w:val="17"/>
              </w:rPr>
              <w:t>READY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Page 05: Organisms Spec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&lt;StockTable /&gt;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Presets Category Row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0B981"/>
                <w:sz w:val="17"/>
              </w:rPr>
              <w:t>READY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Page 06: Sandbox Playground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max-h-[132px] height-locked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FAQ Slideout Drawer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0B981"/>
                <w:sz w:val="17"/>
              </w:rPr>
              <w:t>READY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Page 03: Component Library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&lt;FAQDrawer /&gt; at top-[76px]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Arial" w:hAnsi="Arial"/>
          <w:b/>
          <w:color w:val="0F172A"/>
        </w:rPr>
        <w:t>Figma Page 02: Foundations &amp; Design Tokens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6366F1"/>
        </w:rPr>
        <w:t>A. Sub-Pixel Color System (Camel Deprecated)</w:t>
      </w:r>
    </w:p>
    <w:p>
      <w:pPr>
        <w:spacing w:after="160"/>
      </w:pPr>
      <w:r>
        <w:t>Color variables are mathematically aligned. Salted Camel (#D5AD76) has been fully deprecated and removed. The primary gradient stop uses a clean 2-stop configuration running between Teal Momentum and Sky Blue Flow.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Token Name</w:t>
            </w:r>
          </w:p>
        </w:tc>
        <w:tc>
          <w:tcPr>
            <w:tcW w:type="dxa" w:w="234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Hex Code</w:t>
            </w:r>
          </w:p>
        </w:tc>
        <w:tc>
          <w:tcPr>
            <w:tcW w:type="dxa" w:w="234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Role Description</w:t>
            </w:r>
          </w:p>
        </w:tc>
        <w:tc>
          <w:tcPr>
            <w:tcW w:type="dxa" w:w="234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Application Scope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Teal Momentum</w:t>
            </w:r>
          </w:p>
        </w:tc>
        <w:tc>
          <w:tcPr>
            <w:tcW w:type="dxa" w:w="2340"/>
            <w:shd w:fill="77F2E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000000"/>
                <w:sz w:val="17"/>
              </w:rPr>
              <w:t>#77F2E4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Primary Brand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Left gradient stop (0%) of primary logos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Sky Blue Flow</w:t>
            </w:r>
          </w:p>
        </w:tc>
        <w:tc>
          <w:tcPr>
            <w:tcW w:type="dxa" w:w="2340"/>
            <w:shd w:fill="6BB6F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000000"/>
                <w:sz w:val="17"/>
              </w:rPr>
              <w:t>#6BB6F3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Primary Brand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Right gradient stop (100%) of primary logos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Active Indigo</w:t>
            </w:r>
          </w:p>
        </w:tc>
        <w:tc>
          <w:tcPr>
            <w:tcW w:type="dxa" w:w="2340"/>
            <w:shd w:fill="6366F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#6366F1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Theme Accent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Approved badges, drawer focus outlines, navigation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Success Emerald</w:t>
            </w:r>
          </w:p>
        </w:tc>
        <w:tc>
          <w:tcPr>
            <w:tcW w:type="dxa" w:w="2340"/>
            <w:shd w:fill="10B98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000000"/>
                <w:sz w:val="17"/>
              </w:rPr>
              <w:t>#10B981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Positive Data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BUY calls, target upside indicators, target prices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Protective Rose</w:t>
            </w:r>
          </w:p>
        </w:tc>
        <w:tc>
          <w:tcPr>
            <w:tcW w:type="dxa" w:w="2340"/>
            <w:shd w:fill="EF44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#EF4444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Warning Data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SHORT calls, Stop Loss protective warnings, volatility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Canvas Black</w:t>
            </w:r>
          </w:p>
        </w:tc>
        <w:tc>
          <w:tcPr>
            <w:tcW w:type="dxa" w:w="2340"/>
            <w:shd w:fill="0000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#000000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Pitch Backdrop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Perfect dark canvas baseline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Slate Overlay</w:t>
            </w:r>
          </w:p>
        </w:tc>
        <w:tc>
          <w:tcPr>
            <w:tcW w:type="dxa" w:w="2340"/>
            <w:shd w:fill="0D0E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#0D0E12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Frosted Surface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Liquid glass panels fill background</w:t>
            </w:r>
          </w:p>
        </w:tc>
      </w:tr>
    </w:tbl>
    <w:p>
      <w:pPr>
        <w:spacing w:after="200"/>
      </w:pP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6366F1"/>
        </w:rPr>
        <w:t>B. Typography Hierarchy Scales</w:t>
      </w:r>
    </w:p>
    <w:p>
      <w:pPr>
        <w:spacing w:after="160"/>
      </w:pPr>
      <w:r>
        <w:t>We utilize Sora (geometric Display) for brand headlines, Inter for standard text copy, and JetBrains Mono for monospaced numeric data grids scannability.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Style Name</w:t>
            </w:r>
          </w:p>
        </w:tc>
        <w:tc>
          <w:tcPr>
            <w:tcW w:type="dxa" w:w="1872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Font Family</w:t>
            </w:r>
          </w:p>
        </w:tc>
        <w:tc>
          <w:tcPr>
            <w:tcW w:type="dxa" w:w="1872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Size</w:t>
            </w:r>
          </w:p>
        </w:tc>
        <w:tc>
          <w:tcPr>
            <w:tcW w:type="dxa" w:w="1872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Tailwind Class</w:t>
            </w:r>
          </w:p>
        </w:tc>
        <w:tc>
          <w:tcPr>
            <w:tcW w:type="dxa" w:w="1872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Application Scope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Welcome Headings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Sora (sans-serif)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28px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text-[28px] font-extrabold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Landing dashboard header titles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Dropdown Selectors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Sora (sans-serif)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20px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text-[20px] font-extrabold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Preset category selection titles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Advisory Answer Body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Inter (sans-serif)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13px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text-[13px] font-medium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AI conversation response bubbles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Grid Numeric Values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JetBrains Mono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12.5px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text-[12.5px] font-bold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Prices, target values, stop losses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Arial" w:hAnsi="Arial"/>
          <w:b/>
          <w:color w:val="0F172A"/>
        </w:rPr>
        <w:t>Figma Page 03: Component Library (Atoms &amp; Molecules)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6366F1"/>
        </w:rPr>
        <w:t>A. Button States &amp; Interactive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Button Type</w:t>
            </w:r>
          </w:p>
        </w:tc>
        <w:tc>
          <w:tcPr>
            <w:tcW w:type="dxa" w:w="1872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Default State</w:t>
            </w:r>
          </w:p>
        </w:tc>
        <w:tc>
          <w:tcPr>
            <w:tcW w:type="dxa" w:w="1872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Hover State (Translate &amp; Shimmer)</w:t>
            </w:r>
          </w:p>
        </w:tc>
        <w:tc>
          <w:tcPr>
            <w:tcW w:type="dxa" w:w="1872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Active State (Click)</w:t>
            </w:r>
          </w:p>
        </w:tc>
        <w:tc>
          <w:tcPr>
            <w:tcW w:type="dxa" w:w="1872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Disabled State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Primary Action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bg-indigo-600 border border-indigo-500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bg-indigo-500 translate-y-[-1.5px]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scale-95 bg-indigo-750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opacity-50 cursor-not-allowed bg-slate-800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Secondary Glass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bg-white/[0.05] border border-white/10 backdrop-blur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bg-white/[0.08] translate-y-[-1.5px] (sweeps .liquid-shimmer)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scale-[0.98] bg-white/[0.12]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opacity-40 cursor-not-allowed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Tertiary Capsule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bg-white/[0.02] border border-white/5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bg-white/[0.08] text-white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bg-white/[0.15]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hidden</w:t>
            </w:r>
          </w:p>
        </w:tc>
      </w:tr>
    </w:tbl>
    <w:p>
      <w:pPr>
        <w:spacing w:after="200"/>
      </w:pP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6366F1"/>
        </w:rPr>
        <w:t>B. Recessed Search Input Wells</w:t>
      </w:r>
    </w:p>
    <w:p>
      <w:pPr>
        <w:spacing w:after="160"/>
      </w:pPr>
      <w:r>
        <w:t>Search fields are designed as recessed visual wells carved into the panel surface:</w:t>
        <w:br/>
        <w:t>•  Default: bg-black/25, border border-white/7, inner-shadow inset 0 2px 4px rgba(0,0,0,0.35).</w:t>
        <w:br/>
        <w:t>•  Focus: border-white/20, bg-black/35, shadow-[inset_0_2px_8px_rgba(0,0,0,0.5),0_0_24px_rgba(255,255,255,0.06)], triggering an outline breathing pulse animation.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200" w:type="dxa"/>
              <w:right w:w="200" w:type="dxa"/>
            </w:tcMar>
            <w:tcBorders>
              <w:left w:val="single" w:sz="24" w:space="0" w:color="6366F1"/>
              <w:top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b/>
                <w:color w:val="1E1B4B"/>
                <w:sz w:val="19"/>
              </w:rPr>
              <w:t xml:space="preserve">[SCROLL PRESETS HEIGHT LAWS] </w:t>
              <w:br/>
            </w:r>
            <w:r>
              <w:rPr>
                <w:i/>
                <w:color w:val="475569"/>
                <w:sz w:val="18"/>
              </w:rPr>
              <w:t>To prevent height jumps when dropdown questions toggle, the preset container is restricted strictly to a max-height showing exactly 3.5 elements (3 items + 30% faded scroll visual hint of the 4th item).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Arial" w:hAnsi="Arial"/>
          <w:b/>
          <w:color w:val="0F172A"/>
        </w:rPr>
        <w:t>Figma Page 04: Pattern Guidelines &amp; Handoff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10B981"/>
        </w:rPr>
        <w:t>🟢 The Emerald Green Law (Action &amp; Upside)</w:t>
      </w:r>
    </w:p>
    <w:p>
      <w:pPr>
        <w:spacing w:after="200"/>
      </w:pPr>
      <w:r>
        <w:t>Green represents positive wealth-building signals and target indicators:</w:t>
        <w:br/>
        <w:t>•  BUY Action pills use bg-emerald-500/10 with an active pulsing status indicator dot (bg-emerald-500 animate-pulse).</w:t>
        <w:br/>
        <w:t>•  Target upside values are encased inside green border tags containing a TrendingUp icon.</w:t>
        <w:br/>
        <w:t>•  Future targets are styled in monospace bold text-emerald-500.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EF4444"/>
        </w:rPr>
        <w:t>🔴 The Rose Red Law (Protection &amp; Warnings)</w:t>
      </w:r>
    </w:p>
    <w:p>
      <w:pPr>
        <w:spacing w:after="240"/>
      </w:pPr>
      <w:r>
        <w:t>Red is reserved exclusively for risk guidance and protective stop-losses:</w:t>
        <w:br/>
        <w:t>•  SHORT Action pills use bg-rose-500/10 with an active pulsing status dot.</w:t>
        <w:br/>
        <w:t>•  Stop Loss (SL) values are styled in bold warning text-rose-400.</w:t>
        <w:br/>
        <w:t>•  Leverage alert warning is triggered red when Debt-to-Equity exceeds critical limits (Debt/Equity &gt; 1.50).</w:t>
      </w:r>
    </w:p>
    <w:p>
      <w:pPr>
        <w:pStyle w:val="Heading1"/>
        <w:keepNext/>
        <w:spacing w:before="280" w:after="120"/>
      </w:pPr>
      <w:r>
        <w:rPr>
          <w:rFonts w:ascii="Arial" w:hAnsi="Arial"/>
          <w:b/>
          <w:color w:val="0F172A"/>
        </w:rPr>
        <w:t>Figma Page 05: Stock Table Organism Spec</w:t>
      </w:r>
    </w:p>
    <w:p>
      <w:pPr>
        <w:spacing w:after="160"/>
      </w:pPr>
      <w:r>
        <w:t>To prevent layout grid shifts when rows expand, WayaX tables utilize strict pixel metric dimensions: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1872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Grid Width / Align</w:t>
            </w:r>
          </w:p>
        </w:tc>
        <w:tc>
          <w:tcPr>
            <w:tcW w:type="dxa" w:w="1872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Font Family</w:t>
            </w:r>
          </w:p>
        </w:tc>
        <w:tc>
          <w:tcPr>
            <w:tcW w:type="dxa" w:w="1872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Color Token</w:t>
            </w:r>
          </w:p>
        </w:tc>
        <w:tc>
          <w:tcPr>
            <w:tcW w:type="dxa" w:w="1872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Cell Details &amp; Context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# Index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w-14 / Centered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JetBrains Mono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text-slate-500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01, 02 index numbering padded with leading zeros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Symbol Name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min-w-[220px] / Left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Sora &amp; Mono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text-white / bg-white/5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Company name stacked over symbol badge in bg-white/5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Call Action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w-32 / Centered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Inter Bold Caps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Emerald / Rose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BUY or SHORT status badges with active pulsing dot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Trigger Zone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Flexible / Centered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JetBrains Mono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text-[#6bb6f3]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Blue monospace zone values (text-[#6bb6f3])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Target Price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Flexible / Centered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JetBrains Mono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text-emerald-500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Success Emerald bold future targets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Protective SL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Flexible / Centered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JetBrains Mono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text-rose-400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Protective Rose semibold risk stop guide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Details Button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w-32 / Centered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Inter Bold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Glass Backing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Capsule button triggers secondary drawer accordion</w:t>
            </w:r>
          </w:p>
        </w:tc>
      </w:tr>
    </w:tbl>
    <w:p>
      <w:pPr>
        <w:spacing w:after="200"/>
      </w:pPr>
    </w:p>
    <w:p>
      <w:pPr>
        <w:spacing w:after="240"/>
      </w:pPr>
      <w:r>
        <w:t>•  Row Spacing: Spaced with vertical py-4.5 (18px) and horizontal px-5 (20px).</w:t>
        <w:br/>
        <w:t>•  Row Hover highlights: hover:bg-white/[0.035] (expanded active background locks to bg-white/[0.015]).</w:t>
        <w:br/>
        <w:t>•  Accordion Drawer Detail: Click 'Analyze' opens a nested drawer spanning 9 columns. Separated into three areas: Technical Matrix, Fundamental Shield, and the italics-styled investment thesis.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Arial" w:hAnsi="Arial"/>
          <w:b/>
          <w:color w:val="0F172A"/>
        </w:rPr>
        <w:t>Figma Page 06: Playground Sandbox &amp; Changelog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6366F1"/>
        </w:rPr>
        <w:t>A. Playground Sandbox</w:t>
      </w:r>
    </w:p>
    <w:p>
      <w:pPr>
        <w:spacing w:after="160"/>
      </w:pPr>
      <w:r>
        <w:t>Provides a canvas environment where designers can prototype and test components without affecting the production libraries variables structure.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6366F1"/>
        </w:rPr>
        <w:t>B. Release Changelog</w:t>
      </w:r>
    </w:p>
    <w:p>
      <w:pPr>
        <w:spacing w:after="240"/>
      </w:pPr>
      <w:r>
        <w:t>•  v2.1.0: Redesigned the design system board itself to use caustics refraction circles, dotted canvas grid patterns, and specular highlights card boundaries.</w:t>
        <w:br/>
        <w:t>•  v2.0.4: Re-arranged the entire visual canvas into a 2x3 grid mapping exactly to the 6 standard directories of the 'Organising Design Systems' community template.</w:t>
        <w:br/>
        <w:t>•  v2.0.0: Deprecated Salted Camel color hex (#D5AD76) from gradient stops, updating gradientstops strictly to Teal-to-Blue configuration (#77F2E4 and #6BB6F3).</w:t>
        <w:br/>
        <w:t>•  v1.8.2: Integrated exact 3-layered brand logo underlay refraction blurs and golden emblem asset.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415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