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D6" w:rsidRDefault="00CB7DD6">
      <w:r>
        <w:t>Tc</w:t>
      </w:r>
    </w:p>
    <w:sdt>
      <w:sdtPr>
        <w:id w:val="-101484643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0"/>
          <w:szCs w:val="24"/>
        </w:rPr>
      </w:sdtEndPr>
      <w:sdtContent>
        <w:p w:rsidR="00CB7DD6" w:rsidRDefault="00CB7DD6">
          <w:pPr>
            <w:pStyle w:val="TOCHeading"/>
          </w:pPr>
          <w:r>
            <w:t>Table of Contents</w:t>
          </w:r>
        </w:p>
        <w:p w:rsidR="00CB7DD6" w:rsidRDefault="00CB7D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8234" w:history="1">
            <w:r w:rsidRPr="00B469CC">
              <w:rPr>
                <w:rStyle w:val="Hyperlink"/>
                <w:rFonts w:eastAsiaTheme="majorEastAsia"/>
                <w:noProof/>
              </w:rPr>
              <w:t>Headin1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DD6" w:rsidRDefault="00CB7DD6">
          <w:r>
            <w:rPr>
              <w:b/>
              <w:bCs/>
              <w:noProof/>
            </w:rPr>
            <w:fldChar w:fldCharType="end"/>
          </w:r>
        </w:p>
      </w:sdtContent>
    </w:sdt>
    <w:p w:rsidR="00CB7DD6" w:rsidRDefault="00CB7DD6"/>
    <w:p w:rsidR="00CB7DD6" w:rsidRDefault="00CB7DD6" w:rsidP="00CB7DD6">
      <w:pPr>
        <w:pStyle w:val="Heading1"/>
      </w:pPr>
      <w:bookmarkStart w:id="0" w:name="_Toc1488234"/>
      <w:r>
        <w:t>Headin1</w:t>
      </w:r>
      <w:bookmarkStart w:id="1" w:name="_GoBack"/>
      <w:bookmarkEnd w:id="0"/>
      <w:bookmarkEnd w:id="1"/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4062FA" w:rsidRDefault="004062FA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" w:after="0" w:line="240" w:lineRule="auto"/>
      </w:pPr>
      <w:r>
        <w:br w:type="page"/>
      </w:r>
    </w:p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14400" w:type="dxa"/>
        <w:tblInd w:w="-3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3600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left="0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10800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3600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4500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6300" w:type="dxa"/>
          </w:tcPr>
          <w:p w:rsidR="00DA49E1" w:rsidRPr="000E0F39" w:rsidRDefault="00DA49E1" w:rsidP="00B012CB">
            <w:pPr>
              <w:tabs>
                <w:tab w:val="left" w:pos="720"/>
              </w:tabs>
              <w:spacing w:after="60" w:line="260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Pr="00FB12FF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/>
    <w:sectPr w:rsidR="00DA49E1" w:rsidSect="00C7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left"/>
      <w:pPr>
        <w:tabs>
          <w:tab w:val="num" w:pos="144"/>
        </w:tabs>
        <w:ind w:left="14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1" w15:restartNumberingAfterBreak="0">
    <w:nsid w:val="44E00411"/>
    <w:multiLevelType w:val="hybridMultilevel"/>
    <w:tmpl w:val="42669E94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2104F"/>
    <w:multiLevelType w:val="hybridMultilevel"/>
    <w:tmpl w:val="F250921E"/>
    <w:lvl w:ilvl="0" w:tplc="0C989060">
      <w:start w:val="1"/>
      <w:numFmt w:val="bullet"/>
      <w:pStyle w:val="TableText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4062FA"/>
    <w:rsid w:val="00C76FCB"/>
    <w:rsid w:val="00CB7DD6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69CD"/>
  <w14:defaultImageDpi w14:val="32767"/>
  <w15:chartTrackingRefBased/>
  <w15:docId w15:val="{7CF5748D-4575-154C-8948-03B0C4AC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9E1"/>
    <w:pPr>
      <w:spacing w:before="60" w:after="120" w:line="264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Bullet">
    <w:name w:val="Table Text Bullet"/>
    <w:basedOn w:val="tabletext"/>
    <w:qFormat/>
    <w:locked/>
    <w:rsid w:val="00DA49E1"/>
    <w:pPr>
      <w:numPr>
        <w:numId w:val="1"/>
      </w:numPr>
    </w:pPr>
    <w:rPr>
      <w:rFonts w:cs="Times New Roman"/>
      <w:bCs w:val="0"/>
      <w:iCs w:val="0"/>
      <w:szCs w:val="22"/>
    </w:rPr>
  </w:style>
  <w:style w:type="paragraph" w:customStyle="1" w:styleId="11table">
    <w:name w:val="1.1 table"/>
    <w:basedOn w:val="Normal"/>
    <w:next w:val="Normal"/>
    <w:link w:val="11tableChar"/>
    <w:autoRedefine/>
    <w:uiPriority w:val="99"/>
    <w:qFormat/>
    <w:rsid w:val="00DA49E1"/>
    <w:pPr>
      <w:spacing w:after="40"/>
      <w:ind w:left="288" w:hanging="288"/>
    </w:pPr>
    <w:rPr>
      <w:rFonts w:cs="Arial"/>
      <w:bCs/>
      <w:noProof/>
      <w:sz w:val="18"/>
      <w:szCs w:val="18"/>
      <w:lang w:val="en-GB" w:eastAsia="en-GB"/>
    </w:rPr>
  </w:style>
  <w:style w:type="character" w:customStyle="1" w:styleId="11tableChar">
    <w:name w:val="1.1 table Char"/>
    <w:link w:val="11table"/>
    <w:uiPriority w:val="99"/>
    <w:rsid w:val="00DA49E1"/>
    <w:rPr>
      <w:rFonts w:ascii="Arial" w:eastAsia="Times New Roman" w:hAnsi="Arial" w:cs="Arial"/>
      <w:bCs/>
      <w:noProof/>
      <w:sz w:val="18"/>
      <w:szCs w:val="18"/>
      <w:lang w:val="en-GB" w:eastAsia="en-GB"/>
    </w:rPr>
  </w:style>
  <w:style w:type="paragraph" w:customStyle="1" w:styleId="table111bullet">
    <w:name w:val="table 1.1.1 bullet"/>
    <w:basedOn w:val="Normal"/>
    <w:qFormat/>
    <w:rsid w:val="00DA49E1"/>
    <w:pPr>
      <w:numPr>
        <w:numId w:val="2"/>
      </w:numPr>
      <w:spacing w:before="20" w:after="20"/>
    </w:pPr>
    <w:rPr>
      <w:rFonts w:eastAsia="Cambria" w:cs="Arial"/>
      <w:sz w:val="18"/>
      <w:szCs w:val="18"/>
    </w:rPr>
  </w:style>
  <w:style w:type="paragraph" w:customStyle="1" w:styleId="Table111">
    <w:name w:val="Table 1.1.1"/>
    <w:basedOn w:val="Normal"/>
    <w:uiPriority w:val="99"/>
    <w:qFormat/>
    <w:rsid w:val="00DA49E1"/>
    <w:pPr>
      <w:spacing w:after="40"/>
      <w:ind w:left="144"/>
    </w:pPr>
    <w:rPr>
      <w:rFonts w:cs="Arial"/>
      <w:sz w:val="18"/>
    </w:rPr>
  </w:style>
  <w:style w:type="table" w:customStyle="1" w:styleId="TableGrid1">
    <w:name w:val="Table Grid1"/>
    <w:basedOn w:val="TableNormal"/>
    <w:next w:val="TableGrid"/>
    <w:uiPriority w:val="99"/>
    <w:rsid w:val="00DA49E1"/>
    <w:rPr>
      <w:rFonts w:ascii="Arial" w:eastAsia="Times New Roman" w:hAnsi="Arial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DA49E1"/>
    <w:pPr>
      <w:spacing w:after="40"/>
    </w:pPr>
    <w:rPr>
      <w:rFonts w:cs="Arial"/>
      <w:bCs/>
      <w:iCs/>
      <w:sz w:val="18"/>
    </w:rPr>
  </w:style>
  <w:style w:type="numbering" w:customStyle="1" w:styleId="Style22">
    <w:name w:val="Style22"/>
    <w:uiPriority w:val="99"/>
    <w:rsid w:val="00DA49E1"/>
    <w:pPr>
      <w:numPr>
        <w:numId w:val="2"/>
      </w:numPr>
    </w:pPr>
  </w:style>
  <w:style w:type="table" w:styleId="TableGrid">
    <w:name w:val="Table Grid"/>
    <w:basedOn w:val="TableNormal"/>
    <w:uiPriority w:val="39"/>
    <w:rsid w:val="00DA4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DD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B7DD6"/>
    <w:pPr>
      <w:spacing w:before="120" w:after="0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DD6"/>
    <w:pPr>
      <w:spacing w:before="120" w:after="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7DD6"/>
    <w:pPr>
      <w:spacing w:before="0" w:after="0"/>
      <w:ind w:left="40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DD6"/>
    <w:pPr>
      <w:spacing w:before="0" w:after="0"/>
      <w:ind w:left="60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DD6"/>
    <w:pPr>
      <w:spacing w:before="0" w:after="0"/>
      <w:ind w:left="80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DD6"/>
    <w:pPr>
      <w:spacing w:before="0" w:after="0"/>
      <w:ind w:left="10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DD6"/>
    <w:pPr>
      <w:spacing w:before="0" w:after="0"/>
      <w:ind w:left="120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DD6"/>
    <w:pPr>
      <w:spacing w:before="0" w:after="0"/>
      <w:ind w:left="140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DD6"/>
    <w:pPr>
      <w:spacing w:before="0" w:after="0"/>
      <w:ind w:left="1600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6FA687-05AE-7E4A-8A71-7652BD13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4480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Aeris Secure</dc:creator>
  <cp:keywords/>
  <dc:description/>
  <cp:lastModifiedBy>Aeris Secure</cp:lastModifiedBy>
  <cp:revision>2</cp:revision>
  <dcterms:created xsi:type="dcterms:W3CDTF">2019-02-19T23:18:00Z</dcterms:created>
  <dcterms:modified xsi:type="dcterms:W3CDTF">2019-02-20T00:03:00Z</dcterms:modified>
</cp:coreProperties>
</file>