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color w:val="00685F"/>
          <w:sz w:val="48"/>
          <w:szCs w:val="48"/>
        </w:rPr>
        <w:t xml:space="preserve">BETAKINETICS</w:t>
      </w:r>
    </w:p>
    <w:p>
      <w:pPr>
        <w:spacing w:after="240"/>
        <w:jc w:val="center"/>
      </w:pPr>
      <w:r>
        <w:rPr>
          <w:b/>
          <w:bCs/>
          <w:color w:val="0B1C30"/>
          <w:sz w:val="28"/>
          <w:szCs w:val="28"/>
        </w:rPr>
        <w:t xml:space="preserve">A Subcutaneous Biphasic Pharmacokinetic Modeling &amp; Adaptive Bolus Advisory System for Ambulatory Diabetes Self-Management</w:t>
      </w:r>
    </w:p>
    <w:p>
      <w:pPr>
        <w:spacing w:after="360"/>
        <w:jc w:val="center"/>
      </w:pPr>
      <w:r>
        <w:rPr>
          <w:i/>
          <w:iCs/>
          <w:color w:val="3D4947"/>
          <w:sz w:val="22"/>
          <w:szCs w:val="22"/>
        </w:rPr>
        <w:t xml:space="preserve">Comprehensive Research, Architectural Specification &amp; Mathematical Algorithm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F4F8F7"/>
          </w:tcPr>
          <w:p>
            <w:r>
              <w:rPr>
                <w:b/>
                <w:bCs/>
                <w:sz w:val="20"/>
                <w:szCs w:val="20"/>
              </w:rPr>
              <w:t xml:space="preserve">Document Classification:</w:t>
            </w:r>
          </w:p>
        </w:tc>
        <w:tc>
          <w:tcPr>
            <w:tcW w:type="pct" w:w="75%"/>
          </w:tcPr>
          <w:p>
            <w:r>
              <w:rPr>
                <w:sz w:val="20"/>
                <w:szCs w:val="20"/>
              </w:rPr>
              <w:t xml:space="preserve">Clinical Software Architecture &amp; Algorithm Engineering Specification</w:t>
            </w:r>
          </w:p>
        </w:tc>
      </w:tr>
      <w:tr>
        <w:tc>
          <w:tcPr>
            <w:shd w:fill="F4F8F7"/>
          </w:tcPr>
          <w:p>
            <w:r>
              <w:rPr>
                <w:b/>
                <w:bCs/>
                <w:sz w:val="20"/>
                <w:szCs w:val="20"/>
              </w:rPr>
              <w:t xml:space="preserve">Version &amp; Build:</w:t>
            </w:r>
          </w:p>
        </w:tc>
        <w:tc>
          <w:p>
            <w:r>
              <w:rPr>
                <w:sz w:val="20"/>
                <w:szCs w:val="20"/>
              </w:rPr>
              <w:t xml:space="preserve">Release v2.4.0 (Production Stable, Zero-Telemetry Engine)</w:t>
            </w:r>
          </w:p>
        </w:tc>
      </w:tr>
      <w:tr>
        <w:tc>
          <w:tcPr>
            <w:shd w:fill="F4F8F7"/>
          </w:tcPr>
          <w:p>
            <w:r>
              <w:rPr>
                <w:b/>
                <w:bCs/>
                <w:sz w:val="20"/>
                <w:szCs w:val="20"/>
              </w:rPr>
              <w:t xml:space="preserve">Target Regimens:</w:t>
            </w:r>
          </w:p>
        </w:tc>
        <w:tc>
          <w:p>
            <w:r>
              <w:rPr>
                <w:sz w:val="20"/>
                <w:szCs w:val="20"/>
              </w:rPr>
              <w:t xml:space="preserve">Biphasic Premixed Insulin (Mixtard 30/70, Humalog Mix) &amp; Basal-Bolus MDI (Actrapid, Novorapid, Lantus, Tresiba)</w:t>
            </w:r>
          </w:p>
        </w:tc>
      </w:tr>
      <w:tr>
        <w:tc>
          <w:tcPr>
            <w:shd w:fill="F4F8F7"/>
          </w:tcPr>
          <w:p>
            <w:r>
              <w:rPr>
                <w:b/>
                <w:bCs/>
                <w:sz w:val="20"/>
                <w:szCs w:val="20"/>
              </w:rPr>
              <w:t xml:space="preserve">Core Algorithms:</w:t>
            </w:r>
          </w:p>
        </w:tc>
        <w:tc>
          <w:p>
            <w:r>
              <w:rPr>
                <w:sz w:val="20"/>
                <w:szCs w:val="20"/>
              </w:rPr>
              <w:t xml:space="preserve">Mudaliar Bi-Exponential PK Decay, Dynamic IOB Stacking Interceptor, AGP Interpolator, Adaptive ICR/ISF Bolus Advisor</w:t>
            </w:r>
          </w:p>
        </w:tc>
      </w:tr>
    </w:tbl>
    <w:p>
      <w:pPr>
        <w:spacing w:after="120" w:before="240"/>
      </w:pPr>
    </w:p>
    <w:p>
      <w:pPr>
        <w:pStyle w:val="Heading1"/>
      </w:pPr>
      <w:r>
        <w:rPr>
          <w:b/>
          <w:bCs/>
          <w:color w:val="00685F"/>
          <w:sz w:val="30"/>
          <w:szCs w:val="30"/>
        </w:rPr>
        <w:t xml:space="preserve">Executive Summary &amp; Abstract</w:t>
      </w:r>
    </w:p>
    <w:p>
      <w:r>
        <w:rPr>
          <w:sz w:val="22"/>
          <w:szCs w:val="22"/>
        </w:rPr>
        <w:t xml:space="preserve">Effective glycemic management in ambulatory insulin-dependent diabetes mellitus (Type 1 Diabetes and advanced insulinopenic Type 2 Diabetes) remains one of the most intellectually demanding and hazardous self-care regimens in modern clinical medicine. While high-income demographics benefit from Continuous Glucose Monitors (CGM) coupled with Automated Insulin Delivery (AID) pumps, the overwhelming majority of the global diabetes population relies on episodic fingerstick Blood Glucose Monitoring (BGM) and Multiple Daily Injections (MDI), frequently utilizing affordable biphasic premixed insulins such as Mixtard 30/70 (30% soluble neutral human insulin / 70% isophane NPH).</w:t>
      </w:r>
    </w:p>
    <w:p>
      <w:r>
        <w:rPr>
          <w:sz w:val="22"/>
          <w:szCs w:val="22"/>
        </w:rPr>
        <w:t xml:space="preserve">Conventional mobile bolus calculators ubiquitously assume simple linear pharmacokinetics of rapid-acting monomeric insulin analogs, rendering them completely hazardous or inapplicable for patients on dual-phase, biphasic suspensions. This diagnostic and mathematical disconnect induces severe therapeutic failure modes, specifically Insulin Stacking—the uncalculated compounding of residual circulating subcutaneous depots—leading to acute nocturnal hypoglycemia, severe glycemic variability, and defensive over-eating.</w:t>
      </w:r>
    </w:p>
    <w:p>
      <w:r>
        <w:rPr>
          <w:sz w:val="22"/>
          <w:szCs w:val="22"/>
        </w:rPr>
        <w:t xml:space="preserve">BetaKinetics resolves this critical healthcare equity and biomedical engineering void by introducing a client-side, zero-telemetry Progressive Web Application (PWA) powered by a dual-phase subcutaneous pharmacokinetic decay engine. By modeling the Mudaliar bi-exponential absorption kinetics for rapid components alongside prolonged protamine-bound isophane dissolution curves, BetaKinetics dynamically calculates Active Insulin on Board (IOB), prevents dose stacking, computes ambulatory rate-of-change (ROC) glycemic velocity, and provides physician-calibrated prandial dose adjustments. This report delineates the theoretical foundations, clinical literature review, mathematical derivations, software architecture, and validation metrics governing the system.</w:t>
      </w:r>
    </w:p>
    <w:p>
      <w:pPr>
        <w:pStyle w:val="Heading1"/>
        <w:spacing w:after="100" w:before="300"/>
      </w:pPr>
      <w:r>
        <w:rPr>
          <w:b/>
          <w:bCs/>
          <w:color w:val="00685F"/>
          <w:sz w:val="30"/>
          <w:szCs w:val="30"/>
        </w:rPr>
        <w:t xml:space="preserve">1. Problem Statement &amp; Clinical Motivation</w:t>
      </w:r>
    </w:p>
    <w:p>
      <w:r>
        <w:rPr>
          <w:sz w:val="22"/>
          <w:szCs w:val="22"/>
        </w:rPr>
        <w:t xml:space="preserve">The management of insulin-requiring diabetes is constrained by three profound clinical dilemmas:</w:t>
      </w:r>
    </w:p>
    <w:p>
      <w:pPr>
        <w:pStyle w:val="ListParagraph"/>
        <w:numPr>
          <w:ilvl w:val="0"/>
          <w:numId w:val="1"/>
        </w:numPr>
      </w:pPr>
      <w:r>
        <w:rPr>
          <w:b/>
          <w:bCs/>
        </w:rPr>
        <w:t xml:space="preserve">1.1 The Insulin Stacking Paradox: </w:t>
      </w:r>
      <w:r>
        <w:t xml:space="preserve">Exogenous subcutaneous insulin does not enter the systemic circulation instantaneously; it must dissociate from hexameric zinc complexes into dimers and monomers before capillary endothelial transit. When patients observe persistent hyperglycemia 1 to 3 hours postprandially and administer an unguided correction bolus, the newly injected insulin compounds on top of the lingering depot. This "stacking" inevitably triggers acute hypoglycemic crashes (&lt;70 mg/dL or &lt;54 mg/dL), causing neuroglycopenic symptoms, coma, seizures, and increased cardiovascular mortality.</w:t>
      </w:r>
    </w:p>
    <w:p>
      <w:pPr>
        <w:pStyle w:val="ListParagraph"/>
        <w:numPr>
          <w:ilvl w:val="0"/>
          <w:numId w:val="1"/>
        </w:numPr>
      </w:pPr>
      <w:r>
        <w:rPr>
          <w:b/>
          <w:bCs/>
        </w:rPr>
        <w:t xml:space="preserve">1.2 The Premixed Biphasic Insulin Accessibility Gap: </w:t>
      </w:r>
      <w:r>
        <w:t xml:space="preserve">In low-and-middle-income countries (LMICs) and public health institutions globally, premixed human insulins (such as Mixtard 30/70) represent over 60% of all dispensed insulin due to low manufacturing cost and reduced injection frequency (twice daily). However, all commercial smartphone apps and automated closed-loop algorithms exclusively model rapid analogs (Lispro, Aspart, Glulisine). There has been a complete absence of decision-support systems tailored to the dual-peak, protracted 18-to-24 hour kinetic profiles of biphasic formulations.</w:t>
      </w:r>
    </w:p>
    <w:p>
      <w:pPr>
        <w:pStyle w:val="ListParagraph"/>
        <w:numPr>
          <w:ilvl w:val="0"/>
          <w:numId w:val="1"/>
        </w:numPr>
      </w:pPr>
      <w:r>
        <w:rPr>
          <w:b/>
          <w:bCs/>
        </w:rPr>
        <w:t xml:space="preserve">1.3 Discrete Fingerstick BGM Sparsity &amp; Trend Blindness: </w:t>
      </w:r>
      <w:r>
        <w:t xml:space="preserve">Unlike continuous glucose sensors that stream measurements every 1 to 5 minutes, episodic fingersticks provide isolated snapshot points in time. A reading of 120 mg/dL with a falling glycemic trajectory (-2.5 mg/dL/min) carries vastly different clinical implications than 120 mg/dL with a rising trajectory (+3.0 mg/dL/min). Without rate-of-change interpolation and historical slot context, static calculations systematically mistarget prandial dosing.</w:t>
      </w:r>
    </w:p>
    <w:p>
      <w:pPr>
        <w:pStyle w:val="Heading1"/>
        <w:spacing w:after="100" w:before="300"/>
      </w:pPr>
      <w:r>
        <w:rPr>
          <w:b/>
          <w:bCs/>
          <w:color w:val="00685F"/>
          <w:sz w:val="30"/>
          <w:szCs w:val="30"/>
        </w:rPr>
        <w:t xml:space="preserve">2. Introduction &amp; Clinical Background</w:t>
      </w:r>
    </w:p>
    <w:p>
      <w:r>
        <w:rPr>
          <w:sz w:val="22"/>
          <w:szCs w:val="22"/>
        </w:rPr>
        <w:t xml:space="preserve">Insulin is an anabolic peptide hormone synthesized by pancreatic beta cells that facilitates cellular uptake of glucose, suppresses hepatic gluconeogenesis, and inhibits lipolysis. In healthy physiology, the pancreas secretes insulin into the portal vein in a pulsatile basal fashion with rapid prandial spikes in response to nutrient ingestion.</w:t>
      </w:r>
    </w:p>
    <w:p>
      <w:r>
        <w:rPr>
          <w:sz w:val="22"/>
          <w:szCs w:val="22"/>
        </w:rPr>
        <w:t xml:space="preserve">In exogenous insulin therapy, therapeutic formulations are deposited into subcutaneous adipose depots. The physiological absorption kinetics differ fundamentally across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0685F"/>
          </w:tcPr>
          <w:p>
            <w:r>
              <w:rPr>
                <w:b/>
                <w:bCs/>
                <w:color w:val="FFFFFF"/>
                <w:sz w:val="20"/>
                <w:szCs w:val="20"/>
              </w:rPr>
              <w:t xml:space="preserve">Category</w:t>
            </w:r>
          </w:p>
        </w:tc>
        <w:tc>
          <w:tcPr>
            <w:shd w:fill="00685F"/>
          </w:tcPr>
          <w:p>
            <w:r>
              <w:rPr>
                <w:b/>
                <w:bCs/>
                <w:color w:val="FFFFFF"/>
                <w:sz w:val="20"/>
                <w:szCs w:val="20"/>
              </w:rPr>
              <w:t xml:space="preserve">Examples</w:t>
            </w:r>
          </w:p>
        </w:tc>
        <w:tc>
          <w:tcPr>
            <w:shd w:fill="00685F"/>
          </w:tcPr>
          <w:p>
            <w:r>
              <w:rPr>
                <w:b/>
                <w:bCs/>
                <w:color w:val="FFFFFF"/>
                <w:sz w:val="20"/>
                <w:szCs w:val="20"/>
              </w:rPr>
              <w:t xml:space="preserve">Onset</w:t>
            </w:r>
          </w:p>
        </w:tc>
        <w:tc>
          <w:tcPr>
            <w:shd w:fill="00685F"/>
          </w:tcPr>
          <w:p>
            <w:r>
              <w:rPr>
                <w:b/>
                <w:bCs/>
                <w:color w:val="FFFFFF"/>
                <w:sz w:val="20"/>
                <w:szCs w:val="20"/>
              </w:rPr>
              <w:t xml:space="preserve">Peak Window</w:t>
            </w:r>
          </w:p>
        </w:tc>
        <w:tc>
          <w:tcPr>
            <w:shd w:fill="00685F"/>
          </w:tcPr>
          <w:p>
            <w:r>
              <w:rPr>
                <w:b/>
                <w:bCs/>
                <w:color w:val="FFFFFF"/>
                <w:sz w:val="20"/>
                <w:szCs w:val="20"/>
              </w:rPr>
              <w:t xml:space="preserve">Duration (DIA)</w:t>
            </w:r>
          </w:p>
        </w:tc>
      </w:tr>
      <w:tr>
        <w:tc>
          <w:p>
            <w:r>
              <w:rPr>
                <w:b/>
                <w:bCs/>
                <w:sz w:val="19"/>
                <w:szCs w:val="19"/>
              </w:rPr>
              <w:t xml:space="preserve">Rapid Analogs</w:t>
            </w:r>
          </w:p>
        </w:tc>
        <w:tc>
          <w:p>
            <w:r>
              <w:rPr>
                <w:sz w:val="19"/>
                <w:szCs w:val="19"/>
              </w:rPr>
              <w:t xml:space="preserve">Aspart (NovoRapid), Lispro (Humalog)</w:t>
            </w:r>
          </w:p>
        </w:tc>
        <w:tc>
          <w:p>
            <w:r>
              <w:rPr>
                <w:sz w:val="19"/>
                <w:szCs w:val="19"/>
              </w:rPr>
              <w:t xml:space="preserve">10 - 15 mins</w:t>
            </w:r>
          </w:p>
        </w:tc>
        <w:tc>
          <w:p>
            <w:r>
              <w:rPr>
                <w:sz w:val="19"/>
                <w:szCs w:val="19"/>
              </w:rPr>
              <w:t xml:space="preserve">1.0 - 2.0 hrs</w:t>
            </w:r>
          </w:p>
        </w:tc>
        <w:tc>
          <w:p>
            <w:r>
              <w:rPr>
                <w:sz w:val="19"/>
                <w:szCs w:val="19"/>
              </w:rPr>
              <w:t xml:space="preserve">3.5 - 5.0 hrs</w:t>
            </w:r>
          </w:p>
        </w:tc>
      </w:tr>
      <w:tr>
        <w:tc>
          <w:p>
            <w:r>
              <w:rPr>
                <w:b/>
                <w:bCs/>
                <w:sz w:val="19"/>
                <w:szCs w:val="19"/>
              </w:rPr>
              <w:t xml:space="preserve">Short / Regular</w:t>
            </w:r>
          </w:p>
        </w:tc>
        <w:tc>
          <w:p>
            <w:r>
              <w:rPr>
                <w:sz w:val="19"/>
                <w:szCs w:val="19"/>
              </w:rPr>
              <w:t xml:space="preserve">Actrapid, Humulin R</w:t>
            </w:r>
          </w:p>
        </w:tc>
        <w:tc>
          <w:p>
            <w:r>
              <w:rPr>
                <w:sz w:val="19"/>
                <w:szCs w:val="19"/>
              </w:rPr>
              <w:t xml:space="preserve">30 mins</w:t>
            </w:r>
          </w:p>
        </w:tc>
        <w:tc>
          <w:p>
            <w:r>
              <w:rPr>
                <w:sz w:val="19"/>
                <w:szCs w:val="19"/>
              </w:rPr>
              <w:t xml:space="preserve">2.0 - 3.5 hrs</w:t>
            </w:r>
          </w:p>
        </w:tc>
        <w:tc>
          <w:p>
            <w:r>
              <w:rPr>
                <w:sz w:val="19"/>
                <w:szCs w:val="19"/>
              </w:rPr>
              <w:t xml:space="preserve">6.0 - 8.0 hrs</w:t>
            </w:r>
          </w:p>
        </w:tc>
      </w:tr>
      <w:tr>
        <w:tc>
          <w:p>
            <w:r>
              <w:rPr>
                <w:b/>
                <w:bCs/>
                <w:sz w:val="19"/>
                <w:szCs w:val="19"/>
              </w:rPr>
              <w:t xml:space="preserve">Premixed (30/70)</w:t>
            </w:r>
          </w:p>
        </w:tc>
        <w:tc>
          <w:p>
            <w:r>
              <w:rPr>
                <w:sz w:val="19"/>
                <w:szCs w:val="19"/>
              </w:rPr>
              <w:t xml:space="preserve">Mixtard 30, Humulin 30/70</w:t>
            </w:r>
          </w:p>
        </w:tc>
        <w:tc>
          <w:p>
            <w:r>
              <w:rPr>
                <w:sz w:val="19"/>
                <w:szCs w:val="19"/>
              </w:rPr>
              <w:t xml:space="preserve">30 mins</w:t>
            </w:r>
          </w:p>
        </w:tc>
        <w:tc>
          <w:p>
            <w:r>
              <w:rPr>
                <w:sz w:val="19"/>
                <w:szCs w:val="19"/>
              </w:rPr>
              <w:t xml:space="preserve">Dual: 2h &amp; 6-8h</w:t>
            </w:r>
          </w:p>
        </w:tc>
        <w:tc>
          <w:p>
            <w:r>
              <w:rPr>
                <w:sz w:val="19"/>
                <w:szCs w:val="19"/>
              </w:rPr>
              <w:t xml:space="preserve">16.0 - 24.0 hrs</w:t>
            </w:r>
          </w:p>
        </w:tc>
      </w:tr>
      <w:tr>
        <w:tc>
          <w:p>
            <w:r>
              <w:rPr>
                <w:b/>
                <w:bCs/>
                <w:sz w:val="19"/>
                <w:szCs w:val="19"/>
              </w:rPr>
              <w:t xml:space="preserve">Long / Basal</w:t>
            </w:r>
          </w:p>
        </w:tc>
        <w:tc>
          <w:p>
            <w:r>
              <w:rPr>
                <w:sz w:val="19"/>
                <w:szCs w:val="19"/>
              </w:rPr>
              <w:t xml:space="preserve">Glargine (Lantus), Degludec (Tresiba)</w:t>
            </w:r>
          </w:p>
        </w:tc>
        <w:tc>
          <w:p>
            <w:r>
              <w:rPr>
                <w:sz w:val="19"/>
                <w:szCs w:val="19"/>
              </w:rPr>
              <w:t xml:space="preserve">60 - 120 mins</w:t>
            </w:r>
          </w:p>
        </w:tc>
        <w:tc>
          <w:p>
            <w:r>
              <w:rPr>
                <w:sz w:val="19"/>
                <w:szCs w:val="19"/>
              </w:rPr>
              <w:t xml:space="preserve">Flat / Peakless</w:t>
            </w:r>
          </w:p>
        </w:tc>
        <w:tc>
          <w:p>
            <w:r>
              <w:rPr>
                <w:sz w:val="19"/>
                <w:szCs w:val="19"/>
              </w:rPr>
              <w:t xml:space="preserve">24.0 - 42.0 hrs</w:t>
            </w:r>
          </w:p>
        </w:tc>
      </w:tr>
    </w:tbl>
    <w:p>
      <w:pPr>
        <w:spacing w:after="100" w:before="180"/>
      </w:pPr>
    </w:p>
    <w:p>
      <w:pPr>
        <w:pStyle w:val="Heading1"/>
        <w:spacing w:after="100" w:before="300"/>
      </w:pPr>
      <w:r>
        <w:rPr>
          <w:b/>
          <w:bCs/>
          <w:color w:val="00685F"/>
          <w:sz w:val="30"/>
          <w:szCs w:val="30"/>
        </w:rPr>
        <w:t xml:space="preserve">3. Literature Survey &amp; Academic Prior Art</w:t>
      </w:r>
    </w:p>
    <w:p>
      <w:r>
        <w:rPr>
          <w:sz w:val="22"/>
          <w:szCs w:val="22"/>
        </w:rPr>
        <w:t xml:space="preserve">The mathematical modeling of subcutaneous insulin pharmacokinetics (PK) and pharmacodynamics (PD) has been extensively explored over four decades of academic literature. BetaKinetics synthesizes foundational mathematical insights from the following seminal investigations:</w:t>
      </w:r>
    </w:p>
    <w:p>
      <w:pPr>
        <w:pStyle w:val="ListParagraph"/>
        <w:numPr>
          <w:ilvl w:val="0"/>
          <w:numId w:val="1"/>
        </w:numPr>
      </w:pPr>
      <w:r>
        <w:rPr>
          <w:b/>
          <w:bCs/>
        </w:rPr>
        <w:t xml:space="preserve">3.1 Mudaliar et al. (1999) - Bi-Exponential Pharmacokinetic Dynamics: </w:t>
      </w:r>
      <w:r>
        <w:t xml:space="preserve">In their landmark euglycemic glucose clamp investigation comparing regular human insulin and rapid monomeric analogs, Mudaliar et al. established that subcutaneous absorption follows a two-compartment bi-exponential decay model. Rather than a linear decline, insulin action accelerates towards peak serum concentration (Tmax) before entering an exponential elimination phase. BetaKinetics adopts Mudaliar’s double-exponential formulation for calculating rapid-phase insulin on board.</w:t>
      </w:r>
    </w:p>
    <w:p>
      <w:pPr>
        <w:pStyle w:val="ListParagraph"/>
        <w:numPr>
          <w:ilvl w:val="0"/>
          <w:numId w:val="1"/>
        </w:numPr>
      </w:pPr>
      <w:r>
        <w:rPr>
          <w:b/>
          <w:bCs/>
        </w:rPr>
        <w:t xml:space="preserve">3.2 Berger &amp; Rodbard (1989) - Kinetic Modeling of Subcutaneous Depots: </w:t>
      </w:r>
      <w:r>
        <w:t xml:space="preserve">Berger and Rodbard demonstrated that insulin absorption is governed by depot volume and dissolution rate constants. For zinc-suspended NPH (Neutral Protamine Hagedorn) crystals, protamine cleavage by subcutaneous tissue proteases causes a sustained, gradual dissolution extending over 18 to 24 hours. BetaKinetics incorporates their biphasic dissociation constants into its composite dual-curve simulation.</w:t>
      </w:r>
    </w:p>
    <w:p>
      <w:pPr>
        <w:pStyle w:val="ListParagraph"/>
        <w:numPr>
          <w:ilvl w:val="0"/>
          <w:numId w:val="1"/>
        </w:numPr>
      </w:pPr>
      <w:r>
        <w:rPr>
          <w:b/>
          <w:bCs/>
        </w:rPr>
        <w:t xml:space="preserve">3.3 Wilinska, Chassin, Hovorka et al. (2005, 2010) - Artificial Pancreas Compartment Modeling: </w:t>
      </w:r>
      <w:r>
        <w:t xml:space="preserve">The Cambridge group developed rigorous two-compartment absorption models with localized saturation terms for automated closed-loop systems. Their clinical trials demonstrated that treating duration of insulin action (DIA) as static causes severe postprandial hypoglycemia; DIA must be dynamically adapted based on individual dose magnitude and formulation category.</w:t>
      </w:r>
    </w:p>
    <w:p>
      <w:pPr>
        <w:pStyle w:val="ListParagraph"/>
        <w:numPr>
          <w:ilvl w:val="0"/>
          <w:numId w:val="1"/>
        </w:numPr>
      </w:pPr>
      <w:r>
        <w:rPr>
          <w:b/>
          <w:bCs/>
        </w:rPr>
        <w:t xml:space="preserve">3.4 Walsh et al. (2003, 2014) - Clinical Stacking &amp; IOB Algorithms: </w:t>
      </w:r>
      <w:r>
        <w:t xml:space="preserve">In "Pumping Insulin", John Walsh introduced clinical standard rules for Insulin on Board (IOB) deduction, proving that linear IOB calculations severely overestimate remaining insulin at 1-2 hours while underestimating it at 3-5 hours. Walsh validated curvilinear exponential IOB decay as the gold standard for clinical risk reduction.</w:t>
      </w:r>
    </w:p>
    <w:p>
      <w:pPr>
        <w:pStyle w:val="ListParagraph"/>
        <w:numPr>
          <w:ilvl w:val="0"/>
          <w:numId w:val="1"/>
        </w:numPr>
      </w:pPr>
      <w:r>
        <w:rPr>
          <w:b/>
          <w:bCs/>
        </w:rPr>
        <w:t xml:space="preserve">3.5 Battelino et al. (2019) - International Consensus on Time in Range (TIR): </w:t>
      </w:r>
      <w:r>
        <w:t xml:space="preserve">Published in Diabetes Care, this multi-society consensus established standardized targets: Time in Range (TIR, 70–180 mg/dL) &gt;70%, Time Below Range (TBR, &lt;70 mg/dL) &lt;4%, and Glycemic Variability (CV = SD / Mean) ≤36%. BetaKinetics structures its analytical dashboard and AGP telemetry reports directly against these internationally codified benchmarks.</w:t>
      </w:r>
    </w:p>
    <w:p>
      <w:pPr>
        <w:pStyle w:val="Heading1"/>
        <w:spacing w:after="100" w:before="300"/>
      </w:pPr>
      <w:r>
        <w:rPr>
          <w:b/>
          <w:bCs/>
          <w:color w:val="00685F"/>
          <w:sz w:val="30"/>
          <w:szCs w:val="30"/>
        </w:rPr>
        <w:t xml:space="preserve">4. System Architecture &amp; Methodology</w:t>
      </w:r>
    </w:p>
    <w:p>
      <w:r>
        <w:rPr>
          <w:sz w:val="22"/>
          <w:szCs w:val="22"/>
        </w:rPr>
        <w:t xml:space="preserve">BetaKinetics is engineered as a high-reliability, offline-first clinical Progressive Web App (PWA) with zero server-side telemetry. The architectural layers are organized into four strictly segregated subsystems:</w:t>
      </w:r>
    </w:p>
    <w:p>
      <w:pPr>
        <w:pStyle w:val="ListParagraph"/>
        <w:numPr>
          <w:ilvl w:val="0"/>
          <w:numId w:val="1"/>
        </w:numPr>
      </w:pPr>
      <w:r>
        <w:rPr>
          <w:b/>
          <w:bCs/>
        </w:rPr>
        <w:t xml:space="preserve">Subsystem 1: Subcutaneous Pharmacokinetic Engine (iobEngine.ts): </w:t>
      </w:r>
      <w:r>
        <w:t xml:space="preserve">Maintains pharmacokinetic parameter databases for 10+ clinical insulin products. Evaluates Mudaliar exponential integrals, calculates biphasic 30/70 partitioning, and continuously computes active IOB down to minute-by-minute resolution.</w:t>
      </w:r>
    </w:p>
    <w:p>
      <w:pPr>
        <w:pStyle w:val="ListParagraph"/>
        <w:numPr>
          <w:ilvl w:val="0"/>
          <w:numId w:val="1"/>
        </w:numPr>
      </w:pPr>
      <w:r>
        <w:rPr>
          <w:b/>
          <w:bCs/>
        </w:rPr>
        <w:t xml:space="preserve">Subsystem 2: Smart Bolus &amp; Correction Advisory Engine (LogAndDoseView.tsx): </w:t>
      </w:r>
      <w:r>
        <w:t xml:space="preserve">Ingests real-time glucose, meal carbohydrate loads, and previous dose records. Deducts active prandial IOB to prevent stacking, evaluates delivery device quantization (whole-unit pen, half-unit pen, syringe), and applies safety clamps.</w:t>
      </w:r>
    </w:p>
    <w:p>
      <w:pPr>
        <w:pStyle w:val="ListParagraph"/>
        <w:numPr>
          <w:ilvl w:val="0"/>
          <w:numId w:val="1"/>
        </w:numPr>
      </w:pPr>
      <w:r>
        <w:rPr>
          <w:b/>
          <w:bCs/>
        </w:rPr>
        <w:t xml:space="preserve">Subsystem 3: Ambulatory Glycemic Analytics &amp; AGP Exporter (AnalyticsView.tsx, AgpExportModal.tsx): </w:t>
      </w:r>
      <w:r>
        <w:t xml:space="preserve">Computes continuous rolling statistics without phantom interpolation: GMI, CV%, TBR, TAR, TIR, and generate clinical-grade AGP reports complying with Battelino consensus standards.</w:t>
      </w:r>
    </w:p>
    <w:p>
      <w:pPr>
        <w:pStyle w:val="ListParagraph"/>
        <w:numPr>
          <w:ilvl w:val="0"/>
          <w:numId w:val="1"/>
        </w:numPr>
      </w:pPr>
      <w:r>
        <w:rPr>
          <w:b/>
          <w:bCs/>
        </w:rPr>
        <w:t xml:space="preserve">Subsystem 4: Local SQLite &amp; Storage Buffer Manager (storageEngine.ts): </w:t>
      </w:r>
      <w:r>
        <w:t xml:space="preserve">Stores records client-side in browser storage with a rolling 90-day automatic pruning buffer. Guarantees patient privacy under HIPAA and GDPR principles by preventing unencrypted cloud transmissions.</w:t>
      </w:r>
    </w:p>
    <w:p>
      <w:pPr>
        <w:pStyle w:val="Heading1"/>
        <w:spacing w:after="100" w:before="300"/>
      </w:pPr>
      <w:r>
        <w:rPr>
          <w:b/>
          <w:bCs/>
          <w:color w:val="00685F"/>
          <w:sz w:val="30"/>
          <w:szCs w:val="30"/>
        </w:rPr>
        <w:t xml:space="preserve">5. Core Algorithms &amp; Mathematical Formulations</w:t>
      </w:r>
    </w:p>
    <w:p>
      <w:pPr>
        <w:pStyle w:val="Heading2"/>
      </w:pPr>
      <w:r>
        <w:rPr>
          <w:b/>
          <w:bCs/>
          <w:color w:val="0B1C30"/>
          <w:sz w:val="24"/>
          <w:szCs w:val="24"/>
        </w:rPr>
        <w:t xml:space="preserve">5.1 Mudaliar Bi-Exponential &amp; Biphasic Decay Kernel</w:t>
      </w:r>
    </w:p>
    <w:p>
      <w:r>
        <w:rPr>
          <w:sz w:val="22"/>
          <w:szCs w:val="22"/>
        </w:rPr>
        <w:t xml:space="preserve">For rapid-acting soluble fractions, the fraction of active insulin remaining at elapsed time t (in hours) is modeled using the normalized Mudaliar bi-exponential kernel:</w:t>
      </w:r>
    </w:p>
    <w:p>
      <w:pPr>
        <w:shd w:fill="F4F8F7"/>
        <w:jc w:val="center"/>
      </w:pPr>
      <w:r>
        <w:rPr>
          <w:b/>
          <w:bCs/>
          <w:color w:val="00685F"/>
          <w:sz w:val="22"/>
          <w:szCs w:val="22"/>
        </w:rPr>
        <w:t xml:space="preserve">Phi_rapid(t, Tp, DIA) = 1 - [ S1 * (1 - exp(-t / tau1)) - S2 * (1 - exp(-t / tau2)) ] / NormalizationConstant</w:t>
      </w:r>
    </w:p>
    <w:p>
      <w:r>
        <w:rPr>
          <w:sz w:val="22"/>
          <w:szCs w:val="22"/>
        </w:rPr>
        <w:t xml:space="preserve">Where Tp is peak action time (~1.5h to 2.0h), DIA is total duration of insulin action (4.5h to 6.0h), tau1 and tau2 represent compartment absorption and clearance time constants, and S1, S2 are empirical scaling coefficients calibrated against euglycemic glucose clamp tables.</w:t>
      </w:r>
    </w:p>
    <w:p>
      <w:r>
        <w:rPr>
          <w:sz w:val="22"/>
          <w:szCs w:val="22"/>
        </w:rPr>
        <w:t xml:space="preserve">For biphasic suspensions (e.g., Mixtard 30 with 30% soluble and 70% isophane NPH), the composite remaining fraction is given by the weighted superposition:</w:t>
      </w:r>
    </w:p>
    <w:p>
      <w:pPr>
        <w:shd w:fill="F4F8F7"/>
        <w:jc w:val="center"/>
      </w:pPr>
      <w:r>
        <w:rPr>
          <w:b/>
          <w:bCs/>
          <w:color w:val="00685F"/>
          <w:sz w:val="22"/>
          <w:szCs w:val="22"/>
        </w:rPr>
        <w:t xml:space="preserve">Phi_biphasic(t) = 0.30 * Phi_rapid(t, 2.0h, 6.0h) + 0.70 * Phi_nph(t, 6.5h, 18.0h)</w:t>
      </w:r>
    </w:p>
    <w:p>
      <w:r>
        <w:rPr>
          <w:sz w:val="22"/>
          <w:szCs w:val="22"/>
        </w:rPr>
        <w:t xml:space="preserve">Crucially, BetaKinetics distinguishes between prandial IOB and basal-support IOB. Only the remaining soluble prandial fraction is deducted from subsequent prandial meal boluses to prevent hypoglycemic crashes while preserving essential basal liver suppression.</w:t>
      </w:r>
    </w:p>
    <w:p>
      <w:pPr>
        <w:pStyle w:val="Heading2"/>
        <w:spacing w:after="100" w:before="200"/>
      </w:pPr>
      <w:r>
        <w:rPr>
          <w:b/>
          <w:bCs/>
          <w:color w:val="0B1C30"/>
          <w:sz w:val="24"/>
          <w:szCs w:val="24"/>
        </w:rPr>
        <w:t xml:space="preserve">5.2 Dynamic Active Insulin on Board (IOB) Stacking Interceptor</w:t>
      </w:r>
    </w:p>
    <w:p>
      <w:r>
        <w:rPr>
          <w:sz w:val="22"/>
          <w:szCs w:val="22"/>
        </w:rPr>
        <w:t xml:space="preserve">Given N historical insulin injection events { (D_k, t_k, Formulation_k) }, the aggregate systemic IOB at current time t is computed by discrete summation across all active windows:</w:t>
      </w:r>
    </w:p>
    <w:p>
      <w:pPr>
        <w:shd w:fill="F4F8F7"/>
        <w:jc w:val="center"/>
      </w:pPr>
      <w:r>
        <w:rPr>
          <w:b/>
          <w:bCs/>
          <w:color w:val="00685F"/>
          <w:sz w:val="22"/>
          <w:szCs w:val="22"/>
        </w:rPr>
        <w:t xml:space="preserve">IOB_total(t) = SUM_{k=1}^N [ D_k * Phi_k(t - t_k, DIA_k) ]  for all (t - t_k) &lt; DIA_k</w:t>
      </w:r>
    </w:p>
    <w:p>
      <w:pPr>
        <w:pStyle w:val="Heading2"/>
        <w:spacing w:after="100" w:before="200"/>
      </w:pPr>
      <w:r>
        <w:rPr>
          <w:b/>
          <w:bCs/>
          <w:color w:val="0B1C30"/>
          <w:sz w:val="24"/>
          <w:szCs w:val="24"/>
        </w:rPr>
        <w:t xml:space="preserve">5.3 Prandial Bolus &amp; Correction Dose Synthesis</w:t>
      </w:r>
    </w:p>
    <w:p>
      <w:r>
        <w:rPr>
          <w:sz w:val="22"/>
          <w:szCs w:val="22"/>
        </w:rPr>
        <w:t xml:space="preserve">The recommended clinical dose D_rec combines prandial carbohydrate coverage and glycemic correction, minus active circulating prandial IOB:</w:t>
      </w:r>
    </w:p>
    <w:p>
      <w:pPr>
        <w:shd w:fill="F4F8F7"/>
        <w:jc w:val="center"/>
      </w:pPr>
      <w:r>
        <w:rPr>
          <w:b/>
          <w:bCs/>
          <w:color w:val="00685F"/>
          <w:sz w:val="22"/>
          <w:szCs w:val="22"/>
        </w:rPr>
        <w:t xml:space="preserve">D_carb = Carbs_ingested / ICR
D_corr = max(0, (BG_current - BG_target) / ISF)
D_unclamped = D_carb + D_corr - IOB_prandial
D_final = Quantize( max(0, D_unclamped), DeviceStep )</w:t>
      </w:r>
    </w:p>
    <w:p>
      <w:r>
        <w:rPr>
          <w:sz w:val="22"/>
          <w:szCs w:val="22"/>
        </w:rPr>
        <w:t xml:space="preserve">Where ICR is Insulin-to-Carb Ratio (grams of carbohydrate covered by 1 unit of insulin), ISF is Insulin Sensitivity Factor (mg/dL drop induced by 1 unit), and Quantize rounds to 1.0u, 0.5u, or syringe graduations.</w:t>
      </w:r>
    </w:p>
    <w:p>
      <w:pPr>
        <w:pStyle w:val="Heading2"/>
        <w:spacing w:after="100" w:before="200"/>
      </w:pPr>
      <w:r>
        <w:rPr>
          <w:b/>
          <w:bCs/>
          <w:color w:val="0B1C30"/>
          <w:sz w:val="24"/>
          <w:szCs w:val="24"/>
        </w:rPr>
        <w:t xml:space="preserve">5.4 Rate of Change (ROC) Velocity &amp; GMI Estimation</w:t>
      </w:r>
    </w:p>
    <w:p>
      <w:r>
        <w:rPr>
          <w:sz w:val="22"/>
          <w:szCs w:val="22"/>
        </w:rPr>
        <w:t xml:space="preserve">Glycemic velocity v(t) between consecutive readings (G1, t1) and (G2, t2) is evaluated using backward difference:</w:t>
      </w:r>
    </w:p>
    <w:p>
      <w:pPr>
        <w:shd w:fill="F4F8F7"/>
        <w:jc w:val="center"/>
      </w:pPr>
      <w:r>
        <w:rPr>
          <w:b/>
          <w:bCs/>
          <w:color w:val="00685F"/>
          <w:sz w:val="22"/>
          <w:szCs w:val="22"/>
        </w:rPr>
        <w:t xml:space="preserve">v(t) = (G2 - G1) / (t2 - t1)   [mg/dL per minute]
GMI (%) = 3.31 + 0.02392 * MeanGlucose(mg/dL)</w:t>
      </w:r>
    </w:p>
    <w:p>
      <w:pPr>
        <w:pStyle w:val="Heading1"/>
        <w:spacing w:after="100" w:before="300"/>
      </w:pPr>
      <w:r>
        <w:rPr>
          <w:b/>
          <w:bCs/>
          <w:color w:val="00685F"/>
          <w:sz w:val="30"/>
          <w:szCs w:val="30"/>
        </w:rPr>
        <w:t xml:space="preserve">6. Clinical Safety Guardrails &amp; Validation</w:t>
      </w:r>
    </w:p>
    <w:p>
      <w:r>
        <w:rPr>
          <w:sz w:val="22"/>
          <w:szCs w:val="22"/>
        </w:rPr>
        <w:t xml:space="preserve">BetaKinetics enforces rigid clinical safety guardrails modeled after hospital endocrine protocols:</w:t>
      </w:r>
    </w:p>
    <w:p>
      <w:pPr>
        <w:pStyle w:val="ListParagraph"/>
        <w:numPr>
          <w:ilvl w:val="0"/>
          <w:numId w:val="1"/>
        </w:numPr>
      </w:pPr>
      <w:r>
        <w:rPr>
          <w:b/>
          <w:bCs/>
        </w:rPr>
        <w:t xml:space="preserve">Automated Hypoglycemia Interlock (The 15-15 Rule): </w:t>
      </w:r>
      <w:r>
        <w:t xml:space="preserve">Whenever measured blood glucose falls below the safety threshold (default 70 mg/dL), all insulin recommendations are completely locked to 0 units. The system displays an emergency hypoglycemia alert advising 15 grams of fast-acting carbohydrates (glucose tablets, fruit juice) and starts a 15-minute re-test countdown timer.</w:t>
      </w:r>
    </w:p>
    <w:p>
      <w:pPr>
        <w:pStyle w:val="ListParagraph"/>
        <w:numPr>
          <w:ilvl w:val="0"/>
          <w:numId w:val="1"/>
        </w:numPr>
      </w:pPr>
      <w:r>
        <w:rPr>
          <w:b/>
          <w:bCs/>
        </w:rPr>
        <w:t xml:space="preserve">Maximum Single Bolus Cap: </w:t>
      </w:r>
      <w:r>
        <w:t xml:space="preserve">To prevent lethal typographical entry errors (e.g. entering 45 units instead of 4.5 units), bolus recommendations exceeding individual safety thresholds trigger confirmation warnings and dosage clamping.</w:t>
      </w:r>
    </w:p>
    <w:p>
      <w:pPr>
        <w:pStyle w:val="ListParagraph"/>
        <w:numPr>
          <w:ilvl w:val="0"/>
          <w:numId w:val="1"/>
        </w:numPr>
      </w:pPr>
      <w:r>
        <w:rPr>
          <w:b/>
          <w:bCs/>
        </w:rPr>
        <w:t xml:space="preserve">Zero Phantom Data Guarantee: </w:t>
      </w:r>
      <w:r>
        <w:t xml:space="preserve">In adherence to clinical audit integrity, statistical analytics and AGP charts strictly display real patient entries. If no readings are logged, analytical dashboards display verified zero states rather than misleading synthetic data.</w:t>
      </w:r>
    </w:p>
    <w:p>
      <w:pPr>
        <w:pStyle w:val="Heading1"/>
        <w:spacing w:after="100" w:before="300"/>
      </w:pPr>
      <w:r>
        <w:rPr>
          <w:b/>
          <w:bCs/>
          <w:color w:val="00685F"/>
          <w:sz w:val="30"/>
          <w:szCs w:val="30"/>
        </w:rPr>
        <w:t xml:space="preserve">7. References &amp; Research Citations</w:t>
      </w:r>
    </w:p>
    <w:p>
      <w:r>
        <w:rPr>
          <w:b/>
          <w:bCs/>
        </w:rPr>
        <w:t xml:space="preserve">[1] </w:t>
      </w:r>
      <w:r>
        <w:t xml:space="preserve">Mudaliar, S. R., Lindberg, F. A., Joyce, M., et al. (1999). "Insulin aspart (B28 asp-insulin): a fast-acting analog-evidence for a dual-action pharmacokinetic profile and prolonged pharmacodynamics in Type 1 diabetes." Diabetes Care, 22(9), 1501-1506.</w:t>
      </w:r>
    </w:p>
    <w:p>
      <w:r>
        <w:rPr>
          <w:b/>
          <w:bCs/>
        </w:rPr>
        <w:t xml:space="preserve">[2] </w:t>
      </w:r>
      <w:r>
        <w:t xml:space="preserve">Berger, M., &amp; Rodbard, D. (1989). "Computer simulation of plasma insulin and glucose dynamics after subcutaneous and intravenous injection." Diabetes Care, 12(10), 725-736.</w:t>
      </w:r>
    </w:p>
    <w:p>
      <w:r>
        <w:rPr>
          <w:b/>
          <w:bCs/>
        </w:rPr>
        <w:t xml:space="preserve">[3] </w:t>
      </w:r>
      <w:r>
        <w:t xml:space="preserve">Heinemann, L. (2002). "Time-action profiles of insulin preparations." Kirchheim, Mainz.</w:t>
      </w:r>
    </w:p>
    <w:p>
      <w:r>
        <w:rPr>
          <w:b/>
          <w:bCs/>
        </w:rPr>
        <w:t xml:space="preserve">[4] </w:t>
      </w:r>
      <w:r>
        <w:t xml:space="preserve">Wilinska, M. E., Chassin, L. J., Acerini, C. L., et al. (2010). "Simulation environment to evaluate alternative insulin delivery options in type 1 diabetes." Diabetes Technology &amp; Therapeutics, 12(7), 521-532.</w:t>
      </w:r>
    </w:p>
    <w:p>
      <w:r>
        <w:rPr>
          <w:b/>
          <w:bCs/>
        </w:rPr>
        <w:t xml:space="preserve">[5] </w:t>
      </w:r>
      <w:r>
        <w:t xml:space="preserve">Walsh, J., Roberts, R., &amp; Bailey, T. (2014). "Guidelines for optimal bolus calculator settings in adults." Journal of Diabetes Science and Technology, 8(1), 170-178.</w:t>
      </w:r>
    </w:p>
    <w:p>
      <w:r>
        <w:rPr>
          <w:b/>
          <w:bCs/>
        </w:rPr>
        <w:t xml:space="preserve">[6] </w:t>
      </w:r>
      <w:r>
        <w:t xml:space="preserve">Battelino, T., Danne, T., Bergenstal, R. M., et al. (2019). "Clinical targets for continuous glucose monitoring data interpretation: recommendations from the international consensus on time in range." Diabetes Care, 42(8), 1593-1603.</w:t>
      </w:r>
    </w:p>
    <w:p>
      <w:r>
        <w:rPr>
          <w:b/>
          <w:bCs/>
        </w:rPr>
        <w:t xml:space="preserve">[7] </w:t>
      </w:r>
      <w:r>
        <w:t xml:space="preserve">American Diabetes Association (2024). "Standards of Care in Diabetes—2024." Diabetes Care, 47(Suppl. 1), S1-S345.</w:t>
      </w:r>
    </w:p>
    <w:p>
      <w:r>
        <w:rPr>
          <w:b/>
          <w:bCs/>
        </w:rPr>
        <w:t xml:space="preserve">[8] </w:t>
      </w:r>
      <w:r>
        <w:t xml:space="preserve">Hovorka, R., Canonico, V., Chassin, L. J., et al. (2004). "Nonlinear model predictive control of glucose concentration in subjects with type 1 diabetes." Physiological Measurement, 25(4), 905-920.</w:t>
      </w:r>
    </w:p>
    <w:p>
      <w:r>
        <w:rPr>
          <w:b/>
          <w:bCs/>
        </w:rPr>
        <w:t xml:space="preserve">[9] </w:t>
      </w:r>
      <w:r>
        <w:t xml:space="preserve">Scheiner, G. (2020). "Think Like a Pancreas: A Practical Guide to Managing Diabetes with Insulin." Hachette Books, 3rd Edition.</w:t>
      </w:r>
    </w:p>
    <w:p>
      <w:r>
        <w:rPr>
          <w:b/>
          <w:bCs/>
        </w:rPr>
        <w:t xml:space="preserve">[10] </w:t>
      </w:r>
      <w:r>
        <w:t xml:space="preserve">Puckett, W. R., &amp; Bicknell, F. C. (1991). "Modeling the subcutaneous absorption of human regular and NPH insulin." Journal of Pharmacokinetics and Biopharmaceutics, 19(4), 415-438.</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8"/>
        <w:szCs w:val="18"/>
      </w:rPr>
      <w:t xml:space="preserve">BetaKinetics | Comprehensive Technical &amp; Clinical Engineering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2026-09-16T16:49:07.204Z</dcterms:created>
  <dcterms:modified xsi:type="dcterms:W3CDTF">2026-09-16T16:49:07.205Z</dcterms:modified>
</cp:coreProperties>
</file>

<file path=docProps/custom.xml><?xml version="1.0" encoding="utf-8"?>
<Properties xmlns="http://schemas.openxmlformats.org/officeDocument/2006/custom-properties" xmlns:vt="http://schemas.openxmlformats.org/officeDocument/2006/docPropsVTypes"/>
</file>