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Задание</w:t>
      </w:r>
      <w:r>
        <w:t xml:space="preserve"> </w:t>
      </w:r>
      <w:r>
        <w:t xml:space="preserve">для</w:t>
      </w:r>
      <w:r>
        <w:t xml:space="preserve"> </w:t>
      </w:r>
      <w:r>
        <w:t xml:space="preserve">самостоятельного</w:t>
      </w:r>
      <w:r>
        <w:t xml:space="preserve"> </w:t>
      </w:r>
      <w:r>
        <w:t xml:space="preserve">выполнения</w:t>
      </w:r>
    </w:p>
    <w:p>
      <w:pPr>
        <w:pStyle w:val="Author"/>
      </w:pPr>
      <w:r>
        <w:t xml:space="preserve">Ильин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Построить модель сети, и построить графики на ее основе, используя Xgraph и GNUplot.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Для приведённой схемы разработать имитационную модель в пакете NS-2. Сеть имеет следующий вид:</w:t>
      </w:r>
    </w:p>
    <w:p>
      <w:pPr>
        <w:pStyle w:val="FirstParagraph"/>
      </w:pPr>
      <w:r>
        <w:t xml:space="preserve">– сеть состоит из N TCP-источников, N TCP-приёмников, двух маршрутизаторов R1 и R2 между источниками и приёмниками (N — не менее 20);</w:t>
      </w:r>
    </w:p>
    <w:p>
      <w:pPr>
        <w:pStyle w:val="BodyText"/>
      </w:pPr>
      <w:r>
        <w:t xml:space="preserve">– между TCP-источниками и первым маршрутизатором установлены дуплексные соединения с пропускной способностью 100 Мбит/с и задержкой 20 мс очередью типа DropTail;</w:t>
      </w:r>
    </w:p>
    <w:p>
      <w:pPr>
        <w:pStyle w:val="BodyText"/>
      </w:pPr>
      <w:r>
        <w:t xml:space="preserve">– между TCP-приёмниками и вторым маршрутизатором установлены дуплексные соединения с пропускной способностью 100 Мбит/с и задержкой 20 мс очередью типа DropTail;</w:t>
      </w:r>
    </w:p>
    <w:p>
      <w:pPr>
        <w:pStyle w:val="BodyText"/>
      </w:pPr>
      <w:r>
        <w:t xml:space="preserve">– между маршрутизаторами установлено симплексное соединение (R1–R2) с пропускной способностью 20 Мбит/с и задержкой 15 мс очередью типа RED, размером буфера 300 пакетов; в обратную сторону — симплексное соединение (R2–R1) с пропускной способностью 15 Мбит/с и задержкой 20 мс очередью типа DropTail;</w:t>
      </w:r>
    </w:p>
    <w:p>
      <w:pPr>
        <w:pStyle w:val="BodyText"/>
      </w:pPr>
      <w:r>
        <w:t xml:space="preserve">– данные передаются по протоколу FTP поверх TCPReno;</w:t>
      </w:r>
    </w:p>
    <w:p>
      <w:pPr>
        <w:pStyle w:val="BodyText"/>
      </w:pPr>
      <w:r>
        <w:t xml:space="preserve">– параметры алгоритма RED: qmin = 75, qmax = 150, qw = 0, 002, pmax = 0.1;</w:t>
      </w:r>
    </w:p>
    <w:p>
      <w:pPr>
        <w:pStyle w:val="BodyText"/>
      </w:pPr>
      <w:r>
        <w:t xml:space="preserve">– максимальный размер TCP-окна 32; размер передаваемого пакет</w:t>
      </w:r>
    </w:p>
    <w:p>
      <w:pPr>
        <w:numPr>
          <w:ilvl w:val="0"/>
          <w:numId w:val="1002"/>
        </w:numPr>
      </w:pPr>
      <w:r>
        <w:t xml:space="preserve">Построить график изменения размера окна TCP (в Xgraph и в GNUPlot);</w:t>
      </w:r>
    </w:p>
    <w:p>
      <w:pPr>
        <w:numPr>
          <w:ilvl w:val="0"/>
          <w:numId w:val="1002"/>
        </w:numPr>
      </w:pPr>
      <w:r>
        <w:t xml:space="preserve">Построить график изменения длины очереди и средней длины очереди на первом маршрутизаторе.</w:t>
      </w:r>
    </w:p>
    <w:p>
      <w:pPr>
        <w:numPr>
          <w:ilvl w:val="0"/>
          <w:numId w:val="1002"/>
        </w:numPr>
      </w:pPr>
      <w:r>
        <w:t xml:space="preserve">Оформить отчёт о выполненной работе.</w:t>
      </w:r>
    </w:p>
    <w:bookmarkEnd w:id="21"/>
    <w:bookmarkStart w:id="55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numPr>
          <w:ilvl w:val="0"/>
          <w:numId w:val="1003"/>
        </w:numPr>
      </w:pPr>
      <w:r>
        <w:t xml:space="preserve">Создаю файл .tcl: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touch lab04_1.tcl</w:t>
      </w:r>
    </w:p>
    <w:p>
      <w:pPr>
        <w:pStyle w:val="FirstParagraph"/>
      </w:pPr>
      <w:r>
        <w:t xml:space="preserve">Записываю в него описание модели по заданию:</w:t>
      </w:r>
    </w:p>
    <w:p>
      <w:pPr>
        <w:pStyle w:val="CaptionedFigure"/>
      </w:pPr>
      <w:r>
        <w:drawing>
          <wp:inline>
            <wp:extent cx="5334000" cy="5433171"/>
            <wp:effectExtent b="0" l="0" r="0" t="0"/>
            <wp:docPr descr="Рис 1. Код модели(1)" title="" id="23" name="Picture"/>
            <a:graphic>
              <a:graphicData uri="http://schemas.openxmlformats.org/drawingml/2006/picture">
                <pic:pic>
                  <pic:nvPicPr>
                    <pic:cNvPr descr="images/image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1. Код модели(1)</w:t>
      </w:r>
    </w:p>
    <w:p>
      <w:pPr>
        <w:pStyle w:val="CaptionedFigure"/>
      </w:pPr>
      <w:r>
        <w:drawing>
          <wp:inline>
            <wp:extent cx="4986937" cy="5079146"/>
            <wp:effectExtent b="0" l="0" r="0" t="0"/>
            <wp:docPr descr="Рис 2. Код модели(2)" title="" id="26" name="Picture"/>
            <a:graphic>
              <a:graphicData uri="http://schemas.openxmlformats.org/drawingml/2006/picture">
                <pic:pic>
                  <pic:nvPicPr>
                    <pic:cNvPr descr="images/image00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37" cy="5079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 Код модели(2)</w:t>
      </w:r>
    </w:p>
    <w:p>
      <w:pPr>
        <w:numPr>
          <w:ilvl w:val="0"/>
          <w:numId w:val="1004"/>
        </w:numPr>
      </w:pPr>
      <w:r>
        <w:t xml:space="preserve">Создаю новый файл: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touch graph</w:t>
      </w:r>
    </w:p>
    <w:p>
      <w:pPr>
        <w:pStyle w:val="FirstParagraph"/>
      </w:pPr>
      <w:r>
        <w:t xml:space="preserve">И записываю в него код для построения графиков:</w:t>
      </w:r>
    </w:p>
    <w:p>
      <w:pPr>
        <w:pStyle w:val="CaptionedFigure"/>
      </w:pPr>
      <w:r>
        <w:drawing>
          <wp:inline>
            <wp:extent cx="5294299" cy="4087905"/>
            <wp:effectExtent b="0" l="0" r="0" t="0"/>
            <wp:docPr descr="Рис 3. Код для построения графиков" title="" id="29" name="Picture"/>
            <a:graphic>
              <a:graphicData uri="http://schemas.openxmlformats.org/drawingml/2006/picture">
                <pic:pic>
                  <pic:nvPicPr>
                    <pic:cNvPr descr="images/image005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99" cy="408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 Код для построения графиков</w:t>
      </w:r>
    </w:p>
    <w:p>
      <w:pPr>
        <w:pStyle w:val="BodyText"/>
      </w:pPr>
      <w:r>
        <w:t xml:space="preserve">Делаю файл исполняемым:</w:t>
      </w:r>
    </w:p>
    <w:p>
      <w:pPr>
        <w:pStyle w:val="SourceCode"/>
      </w:pPr>
      <w:r>
        <w:rPr>
          <w:rStyle w:val="VerbatimChar"/>
        </w:rPr>
        <w:t xml:space="preserve">    chmod +x graph</w:t>
      </w:r>
    </w:p>
    <w:p>
      <w:pPr>
        <w:numPr>
          <w:ilvl w:val="0"/>
          <w:numId w:val="1005"/>
        </w:numPr>
      </w:pPr>
      <w:r>
        <w:t xml:space="preserve">Запускаю файл для построения графиков: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ns lab03.tcl</w:t>
      </w:r>
    </w:p>
    <w:p>
      <w:pPr>
        <w:pStyle w:val="FirstParagraph"/>
      </w:pPr>
      <w:r>
        <w:t xml:space="preserve">Получаю модель сети в ns2:</w:t>
      </w:r>
    </w:p>
    <w:p>
      <w:pPr>
        <w:pStyle w:val="CaptionedFigure"/>
      </w:pPr>
      <w:r>
        <w:drawing>
          <wp:inline>
            <wp:extent cx="5334000" cy="5004223"/>
            <wp:effectExtent b="0" l="0" r="0" t="0"/>
            <wp:docPr descr="Рис 4. Модель сети ns2" title="" id="32" name="Picture"/>
            <a:graphic>
              <a:graphicData uri="http://schemas.openxmlformats.org/drawingml/2006/picture">
                <pic:pic>
                  <pic:nvPicPr>
                    <pic:cNvPr descr="images/image007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 Модель сети ns2</w:t>
      </w:r>
    </w:p>
    <w:p>
      <w:pPr>
        <w:pStyle w:val="BodyText"/>
      </w:pPr>
      <w:r>
        <w:t xml:space="preserve">Также получаю 2 графика:</w:t>
      </w:r>
    </w:p>
    <w:p>
      <w:pPr>
        <w:pStyle w:val="CaptionedFigure"/>
      </w:pPr>
      <w:r>
        <w:drawing>
          <wp:inline>
            <wp:extent cx="5334000" cy="4794407"/>
            <wp:effectExtent b="0" l="0" r="0" t="0"/>
            <wp:docPr descr="Рис 5. Изменение размера длины очереди и средней длины очереди на линке (R1–R2)" title="" id="35" name="Picture"/>
            <a:graphic>
              <a:graphicData uri="http://schemas.openxmlformats.org/drawingml/2006/picture">
                <pic:pic>
                  <pic:nvPicPr>
                    <pic:cNvPr descr="images/image00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4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5. Изменение размера длины очереди и средней длины очереди на линке (R1–R2)</w:t>
      </w:r>
    </w:p>
    <w:p>
      <w:pPr>
        <w:pStyle w:val="CaptionedFigure"/>
      </w:pPr>
      <w:r>
        <w:drawing>
          <wp:inline>
            <wp:extent cx="5334000" cy="4998971"/>
            <wp:effectExtent b="0" l="0" r="0" t="0"/>
            <wp:docPr descr="Рис 6. Изменение размера окна TCP на линке 1-го источника" title="" id="38" name="Picture"/>
            <a:graphic>
              <a:graphicData uri="http://schemas.openxmlformats.org/drawingml/2006/picture">
                <pic:pic>
                  <pic:nvPicPr>
                    <pic:cNvPr descr="images/image010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 Изменение размера окна TCP на линке 1-го источника</w:t>
      </w:r>
    </w:p>
    <w:p>
      <w:pPr>
        <w:numPr>
          <w:ilvl w:val="0"/>
          <w:numId w:val="1006"/>
        </w:numPr>
      </w:pPr>
      <w:r>
        <w:t xml:space="preserve">Запускаю файл graph: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./graph</w:t>
      </w:r>
    </w:p>
    <w:p>
      <w:pPr>
        <w:pStyle w:val="FirstParagraph"/>
      </w:pPr>
      <w:r>
        <w:t xml:space="preserve">Получаю файл pdf, в который сохранены следующие графики:</w:t>
      </w:r>
    </w:p>
    <w:p>
      <w:pPr>
        <w:pStyle w:val="CaptionedFigure"/>
      </w:pPr>
      <w:r>
        <w:drawing>
          <wp:inline>
            <wp:extent cx="5334000" cy="3208207"/>
            <wp:effectExtent b="0" l="0" r="0" t="0"/>
            <wp:docPr descr="Рис 7. Изменение размера длины очереди и средней длины очереди на линке (R1–R2)" title="" id="41" name="Picture"/>
            <a:graphic>
              <a:graphicData uri="http://schemas.openxmlformats.org/drawingml/2006/picture">
                <pic:pic>
                  <pic:nvPicPr>
                    <pic:cNvPr descr="images/image01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7. Изменение размера длины очереди и средней длины очереди на линке (R1–R2)</w:t>
      </w:r>
    </w:p>
    <w:p>
      <w:pPr>
        <w:pStyle w:val="CaptionedFigure"/>
      </w:pPr>
      <w:r>
        <w:drawing>
          <wp:inline>
            <wp:extent cx="5334000" cy="3196843"/>
            <wp:effectExtent b="0" l="0" r="0" t="0"/>
            <wp:docPr descr="Рис 8. Изменение размера средней длины очереди на линке (R1–R2)" title="" id="44" name="Picture"/>
            <a:graphic>
              <a:graphicData uri="http://schemas.openxmlformats.org/drawingml/2006/picture">
                <pic:pic>
                  <pic:nvPicPr>
                    <pic:cNvPr descr="images/image01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8. Изменение размера средней длины очереди на линке (R1–R2)</w:t>
      </w:r>
    </w:p>
    <w:p>
      <w:pPr>
        <w:pStyle w:val="CaptionedFigure"/>
      </w:pPr>
      <w:r>
        <w:drawing>
          <wp:inline>
            <wp:extent cx="5334000" cy="3205375"/>
            <wp:effectExtent b="0" l="0" r="0" t="0"/>
            <wp:docPr descr="Рис 9. Изменение размера длины очереди на линке (R1–R2)" title="" id="47" name="Picture"/>
            <a:graphic>
              <a:graphicData uri="http://schemas.openxmlformats.org/drawingml/2006/picture">
                <pic:pic>
                  <pic:nvPicPr>
                    <pic:cNvPr descr="images/image01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9. Изменение размера длины очереди на линке (R1–R2)</w:t>
      </w:r>
    </w:p>
    <w:p>
      <w:pPr>
        <w:pStyle w:val="CaptionedFigure"/>
      </w:pPr>
      <w:r>
        <w:drawing>
          <wp:inline>
            <wp:extent cx="5334000" cy="3213167"/>
            <wp:effectExtent b="0" l="0" r="0" t="0"/>
            <wp:docPr descr="Рис 10. Изменение размера окна TCP на линке 1-го источника" title="" id="50" name="Picture"/>
            <a:graphic>
              <a:graphicData uri="http://schemas.openxmlformats.org/drawingml/2006/picture">
                <pic:pic>
                  <pic:nvPicPr>
                    <pic:cNvPr descr="images/image01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10. Изменение размера окна TCP на линке 1-го источника</w:t>
      </w:r>
    </w:p>
    <w:p>
      <w:pPr>
        <w:pStyle w:val="CaptionedFigure"/>
      </w:pPr>
      <w:r>
        <w:drawing>
          <wp:inline>
            <wp:extent cx="5334000" cy="3197560"/>
            <wp:effectExtent b="0" l="0" r="0" t="0"/>
            <wp:docPr descr="Рис 11. Изменение размера окна TCP на всех источниках" title="" id="53" name="Picture"/>
            <a:graphic>
              <a:graphicData uri="http://schemas.openxmlformats.org/drawingml/2006/picture">
                <pic:pic>
                  <pic:nvPicPr>
                    <pic:cNvPr descr="images/image01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7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11. Изменение размера окна TCP на всех источниках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закреплены навыки моделирования сетей, а также были реализованы модель на ns2 и графики в XGraph и GNUplot.</w:t>
      </w:r>
    </w:p>
    <w:bookmarkEnd w:id="56"/>
    <w:bookmarkStart w:id="57" w:name="библиограф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Библиография</w:t>
      </w:r>
    </w:p>
    <w:p>
      <w:pPr>
        <w:numPr>
          <w:ilvl w:val="0"/>
          <w:numId w:val="1007"/>
        </w:numPr>
        <w:pStyle w:val="Compact"/>
      </w:pPr>
      <w:r>
        <w:t xml:space="preserve">Методические материалы курса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Ильин Никита Евгеньевич</dc:creator>
  <dc:language>ru-RU</dc:language>
  <cp:keywords/>
  <dcterms:created xsi:type="dcterms:W3CDTF">2022-05-07T17:43:06Z</dcterms:created>
  <dcterms:modified xsi:type="dcterms:W3CDTF">2022-05-07T17:43:06Z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BlockInlineMath">
    <vt:lpwstr>False</vt:lpwstr>
  </property>
  <property fmtid="{D5CDD505-2E9C-101B-9397-08002B2CF9AE}" pid="19" name="eqnBlockTemplate">
    <vt:lpwstr>ti</vt:lpwstr>
  </property>
  <property fmtid="{D5CDD505-2E9C-101B-9397-08002B2CF9AE}" pid="20" name="eqnIndexTemplate">
    <vt:lpwstr>(i)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group">
    <vt:lpwstr>НФИбд-01-19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institute">
    <vt:lpwstr>RUDN University, Moscow, Russian Federation</vt:lpwstr>
  </property>
  <property fmtid="{D5CDD505-2E9C-101B-9397-08002B2CF9AE}" pid="34" name="lastDelim">
    <vt:lpwstr>, </vt:lpwstr>
  </property>
  <property fmtid="{D5CDD505-2E9C-101B-9397-08002B2CF9AE}" pid="35" name="linestretch">
    <vt:lpwstr>1.5</vt:lpwstr>
  </property>
  <property fmtid="{D5CDD505-2E9C-101B-9397-08002B2CF9AE}" pid="36" name="linkReferences">
    <vt:lpwstr>False</vt:lpwstr>
  </property>
  <property fmtid="{D5CDD505-2E9C-101B-9397-08002B2CF9AE}" pid="37" name="listingTemplate">
    <vt:lpwstr>listingTitle ititleDelim t</vt:lpwstr>
  </property>
  <property fmtid="{D5CDD505-2E9C-101B-9397-08002B2CF9AE}" pid="38" name="listingTitle">
    <vt:lpwstr>Listing</vt:lpwstr>
  </property>
  <property fmtid="{D5CDD505-2E9C-101B-9397-08002B2CF9AE}" pid="39" name="listings">
    <vt:lpwstr>False</vt:lpwstr>
  </property>
  <property fmtid="{D5CDD505-2E9C-101B-9397-08002B2CF9AE}" pid="40" name="lof">
    <vt:lpwstr>True</vt:lpwstr>
  </property>
  <property fmtid="{D5CDD505-2E9C-101B-9397-08002B2CF9AE}" pid="41" name="lofTitle">
    <vt:lpwstr>List of Figures</vt:lpwstr>
  </property>
  <property fmtid="{D5CDD505-2E9C-101B-9397-08002B2CF9AE}" pid="42" name="lolTitle">
    <vt:lpwstr>List of Listings</vt:lpwstr>
  </property>
  <property fmtid="{D5CDD505-2E9C-101B-9397-08002B2CF9AE}" pid="43" name="lot">
    <vt:lpwstr>True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Задание для самостоятельного выполнения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