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математические модели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Необходимо:</w:t>
      </w:r>
    </w:p>
    <w:p>
      <w:pPr>
        <w:numPr>
          <w:ilvl w:val="0"/>
          <w:numId w:val="1001"/>
        </w:numPr>
      </w:pPr>
      <w:r>
        <w:t xml:space="preserve">Рассмотреть 3 модели боя:</w:t>
      </w:r>
    </w:p>
    <w:p>
      <w:pPr>
        <w:numPr>
          <w:ilvl w:val="1"/>
          <w:numId w:val="1002"/>
        </w:numPr>
      </w:pPr>
      <w:r>
        <w:t xml:space="preserve">Модель боевых действий между регулярными войсками</w:t>
      </w:r>
    </w:p>
    <w:p>
      <w:pPr>
        <w:numPr>
          <w:ilvl w:val="1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numPr>
          <w:ilvl w:val="0"/>
          <w:numId w:val="1001"/>
        </w:numPr>
      </w:pPr>
      <w:r>
        <w:t xml:space="preserve">Построить графики y(t) и x(t)</w:t>
      </w:r>
    </w:p>
    <w:p>
      <w:pPr>
        <w:numPr>
          <w:ilvl w:val="0"/>
          <w:numId w:val="1001"/>
        </w:numPr>
      </w:pPr>
      <w:r>
        <w:t xml:space="preserve">Найти условие, при котором та или другая сторона выигрывают бой (для каждого случая).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действий - ме</w:t>
      </w:r>
      <w:r>
        <w:softHyphen/>
      </w:r>
      <w:r>
        <w:t xml:space="preserve">тод во</w:t>
      </w:r>
      <w:r>
        <w:softHyphen/>
      </w:r>
      <w:r>
        <w:t xml:space="preserve">енно-тео</w:t>
      </w:r>
      <w:r>
        <w:softHyphen/>
      </w:r>
      <w:r>
        <w:t xml:space="preserve">ре</w:t>
      </w:r>
      <w:r>
        <w:softHyphen/>
      </w:r>
      <w:r>
        <w:t xml:space="preserve">тического или во</w:t>
      </w:r>
      <w:r>
        <w:softHyphen/>
      </w:r>
      <w:r>
        <w:t xml:space="preserve">енно-тех</w:t>
      </w:r>
      <w:r>
        <w:softHyphen/>
      </w:r>
      <w:r>
        <w:t xml:space="preserve">нического ис</w:t>
      </w:r>
      <w:r>
        <w:softHyphen/>
      </w:r>
      <w:r>
        <w:t xml:space="preserve">сле</w:t>
      </w:r>
      <w:r>
        <w:softHyphen/>
      </w:r>
      <w:r>
        <w:t xml:space="preserve">до</w:t>
      </w:r>
      <w:r>
        <w:softHyphen/>
      </w:r>
      <w:r>
        <w:t xml:space="preserve">ва</w:t>
      </w:r>
      <w:r>
        <w:softHyphen/>
      </w:r>
      <w:r>
        <w:t xml:space="preserve">ния объ</w:t>
      </w:r>
      <w:r>
        <w:softHyphen/>
      </w:r>
      <w:r>
        <w:t xml:space="preserve">ек</w:t>
      </w:r>
      <w:r>
        <w:softHyphen/>
      </w:r>
      <w:r>
        <w:t xml:space="preserve">тов (сис</w:t>
      </w:r>
      <w:r>
        <w:softHyphen/>
      </w:r>
      <w:r>
        <w:t xml:space="preserve">тем, яв</w:t>
      </w:r>
      <w:r>
        <w:softHyphen/>
      </w:r>
      <w:r>
        <w:t xml:space="preserve">ле</w:t>
      </w:r>
      <w:r>
        <w:softHyphen/>
      </w:r>
      <w:r>
        <w:t xml:space="preserve">ний, со</w:t>
      </w:r>
      <w:r>
        <w:softHyphen/>
      </w:r>
      <w:r>
        <w:t xml:space="preserve">бы</w:t>
      </w:r>
      <w:r>
        <w:softHyphen/>
      </w:r>
      <w:r>
        <w:t xml:space="preserve">тий, про</w:t>
      </w:r>
      <w:r>
        <w:softHyphen/>
      </w:r>
      <w:r>
        <w:t xml:space="preserve">цес</w:t>
      </w:r>
      <w:r>
        <w:softHyphen/>
      </w:r>
      <w:r>
        <w:t xml:space="preserve">сов), уча</w:t>
      </w:r>
      <w:r>
        <w:softHyphen/>
      </w:r>
      <w:r>
        <w:t xml:space="preserve">ст</w:t>
      </w:r>
      <w:r>
        <w:softHyphen/>
      </w:r>
      <w:r>
        <w:t xml:space="preserve">вую</w:t>
      </w:r>
      <w:r>
        <w:softHyphen/>
      </w:r>
      <w:r>
        <w:t xml:space="preserve">щих (про</w:t>
      </w:r>
      <w:r>
        <w:softHyphen/>
      </w:r>
      <w:r>
        <w:t xml:space="preserve">ис</w:t>
      </w:r>
      <w:r>
        <w:softHyphen/>
      </w:r>
      <w:r>
        <w:t xml:space="preserve">хо</w:t>
      </w:r>
      <w:r>
        <w:softHyphen/>
      </w:r>
      <w:r>
        <w:t xml:space="preserve">дя</w:t>
      </w:r>
      <w:r>
        <w:softHyphen/>
      </w:r>
      <w:r>
        <w:t xml:space="preserve">щих) в хо</w:t>
      </w:r>
      <w:r>
        <w:softHyphen/>
      </w:r>
      <w:r>
        <w:t xml:space="preserve">де бое</w:t>
      </w:r>
      <w:r>
        <w:softHyphen/>
      </w:r>
      <w:r>
        <w:t xml:space="preserve">вых дей</w:t>
      </w:r>
      <w:r>
        <w:softHyphen/>
      </w:r>
      <w:r>
        <w:t xml:space="preserve">ст</w:t>
      </w:r>
      <w:r>
        <w:softHyphen/>
      </w:r>
      <w:r>
        <w:t xml:space="preserve">вий, пу</w:t>
      </w:r>
      <w:r>
        <w:softHyphen/>
      </w:r>
      <w:r>
        <w:t xml:space="preserve">тём соз</w:t>
      </w:r>
      <w:r>
        <w:softHyphen/>
      </w:r>
      <w:r>
        <w:t xml:space="preserve">да</w:t>
      </w:r>
      <w:r>
        <w:softHyphen/>
      </w:r>
      <w:r>
        <w:t xml:space="preserve">ния и изу</w:t>
      </w:r>
      <w:r>
        <w:softHyphen/>
      </w:r>
      <w:r>
        <w:t xml:space="preserve">че</w:t>
      </w:r>
      <w:r>
        <w:softHyphen/>
      </w:r>
      <w:r>
        <w:t xml:space="preserve">ния их мо</w:t>
      </w:r>
      <w:r>
        <w:softHyphen/>
      </w:r>
      <w:r>
        <w:t xml:space="preserve">де</w:t>
      </w:r>
      <w:r>
        <w:softHyphen/>
      </w:r>
      <w:r>
        <w:t xml:space="preserve">лей (ана</w:t>
      </w:r>
      <w:r>
        <w:softHyphen/>
      </w:r>
      <w:r>
        <w:t xml:space="preserve">ло</w:t>
      </w:r>
      <w:r>
        <w:softHyphen/>
      </w:r>
      <w:r>
        <w:t xml:space="preserve">гов) в це</w:t>
      </w:r>
      <w:r>
        <w:softHyphen/>
      </w:r>
      <w:r>
        <w:t xml:space="preserve">лях по</w:t>
      </w:r>
      <w:r>
        <w:softHyphen/>
      </w:r>
      <w:r>
        <w:t xml:space="preserve">лу</w:t>
      </w:r>
      <w:r>
        <w:softHyphen/>
      </w:r>
      <w:r>
        <w:t xml:space="preserve">че</w:t>
      </w:r>
      <w:r>
        <w:softHyphen/>
      </w:r>
      <w:r>
        <w:t xml:space="preserve">ния зна</w:t>
      </w:r>
      <w:r>
        <w:softHyphen/>
      </w:r>
      <w:r>
        <w:t xml:space="preserve">ний о фи</w:t>
      </w:r>
      <w:r>
        <w:softHyphen/>
      </w:r>
      <w:r>
        <w:t xml:space="preserve">зических, ин</w:t>
      </w:r>
      <w:r>
        <w:softHyphen/>
      </w:r>
      <w:r>
        <w:t xml:space="preserve">фор</w:t>
      </w:r>
      <w:r>
        <w:softHyphen/>
      </w:r>
      <w:r>
        <w:t xml:space="preserve">мационных и иных про</w:t>
      </w:r>
      <w:r>
        <w:softHyphen/>
      </w:r>
      <w:r>
        <w:t xml:space="preserve">цес</w:t>
      </w:r>
      <w:r>
        <w:softHyphen/>
      </w:r>
      <w:r>
        <w:t xml:space="preserve">сах воо</w:t>
      </w:r>
      <w:r>
        <w:softHyphen/>
      </w:r>
      <w:r>
        <w:t xml:space="preserve">руженной борь</w:t>
      </w:r>
      <w:r>
        <w:softHyphen/>
      </w:r>
      <w:r>
        <w:t xml:space="preserve">бы, а так</w:t>
      </w:r>
      <w:r>
        <w:softHyphen/>
      </w:r>
      <w:r>
        <w:t xml:space="preserve">же для срав</w:t>
      </w:r>
      <w:r>
        <w:softHyphen/>
      </w:r>
      <w:r>
        <w:t xml:space="preserve">не</w:t>
      </w:r>
      <w:r>
        <w:softHyphen/>
      </w:r>
      <w:r>
        <w:t xml:space="preserve">ния ва</w:t>
      </w:r>
      <w:r>
        <w:softHyphen/>
      </w:r>
      <w:r>
        <w:t xml:space="preserve">ри</w:t>
      </w:r>
      <w:r>
        <w:softHyphen/>
      </w:r>
      <w:r>
        <w:t xml:space="preserve">ан</w:t>
      </w:r>
      <w:r>
        <w:softHyphen/>
      </w:r>
      <w:r>
        <w:t xml:space="preserve">тов ре</w:t>
      </w:r>
      <w:r>
        <w:softHyphen/>
      </w:r>
      <w:r>
        <w:t xml:space="preserve">ше</w:t>
      </w:r>
      <w:r>
        <w:softHyphen/>
      </w:r>
      <w:r>
        <w:t xml:space="preserve">ний ко</w:t>
      </w:r>
      <w:r>
        <w:softHyphen/>
      </w:r>
      <w:r>
        <w:t xml:space="preserve">ман</w:t>
      </w:r>
      <w:r>
        <w:softHyphen/>
      </w:r>
      <w:r>
        <w:t xml:space="preserve">дую</w:t>
      </w:r>
      <w:r>
        <w:softHyphen/>
      </w:r>
      <w:r>
        <w:t xml:space="preserve">щих (ко</w:t>
      </w:r>
      <w:r>
        <w:softHyphen/>
      </w:r>
      <w:r>
        <w:t xml:space="preserve">ман</w:t>
      </w:r>
      <w:r>
        <w:softHyphen/>
      </w:r>
      <w:r>
        <w:t xml:space="preserve">ди</w:t>
      </w:r>
      <w:r>
        <w:softHyphen/>
      </w:r>
      <w:r>
        <w:t xml:space="preserve">ров), пла</w:t>
      </w:r>
      <w:r>
        <w:softHyphen/>
      </w:r>
      <w:r>
        <w:t xml:space="preserve">нов и про</w:t>
      </w:r>
      <w:r>
        <w:softHyphen/>
      </w:r>
      <w:r>
        <w:t xml:space="preserve">гно</w:t>
      </w:r>
      <w:r>
        <w:softHyphen/>
      </w:r>
      <w:r>
        <w:t xml:space="preserve">зов ве</w:t>
      </w:r>
      <w:r>
        <w:softHyphen/>
      </w:r>
      <w:r>
        <w:t xml:space="preserve">де</w:t>
      </w:r>
      <w:r>
        <w:softHyphen/>
      </w:r>
      <w:r>
        <w:t xml:space="preserve">ния бое</w:t>
      </w:r>
      <w:r>
        <w:softHyphen/>
      </w:r>
      <w:r>
        <w:t xml:space="preserve">вых дей</w:t>
      </w:r>
      <w:r>
        <w:softHyphen/>
      </w:r>
      <w:r>
        <w:t xml:space="preserve">ст</w:t>
      </w:r>
      <w:r>
        <w:softHyphen/>
      </w:r>
      <w:r>
        <w:t xml:space="preserve">вий, оцен</w:t>
      </w:r>
      <w:r>
        <w:softHyphen/>
      </w:r>
      <w:r>
        <w:t xml:space="preserve">ки влия</w:t>
      </w:r>
      <w:r>
        <w:softHyphen/>
      </w:r>
      <w:r>
        <w:t xml:space="preserve">ния на них различных фак</w:t>
      </w:r>
      <w:r>
        <w:softHyphen/>
      </w:r>
      <w:r>
        <w:t xml:space="preserve">то</w:t>
      </w:r>
      <w:r>
        <w:softHyphen/>
      </w:r>
      <w:r>
        <w:t xml:space="preserve">ров. [1]</w:t>
      </w:r>
    </w:p>
    <w:p>
      <w:pPr>
        <w:pStyle w:val="BodyText"/>
      </w:pPr>
      <w:r>
        <w:t xml:space="preserve">Модель боевых действий</w:t>
      </w:r>
      <w:r>
        <w:t xml:space="preserve"> </w:t>
      </w: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  <w:r>
        <w:t xml:space="preserve"> </w:t>
      </w:r>
      <w:r>
        <w:t xml:space="preserve">3. Боевые действия между партизанскими отрядами</w:t>
      </w:r>
      <w:r>
        <w:t xml:space="preserve"> </w:t>
      </w: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  <w:r>
        <w:t xml:space="preserve"> </w:t>
      </w: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Пишем программу для построения модели боевых действий между регулярными войсками, используя OpenModelica. Используем приведенные выше уравнения.</w:t>
      </w:r>
    </w:p>
    <w:p>
      <w:pPr>
        <w:pStyle w:val="CaptionedFigure"/>
      </w:pPr>
      <w:bookmarkStart w:id="26" w:name="fig:001"/>
      <w:r>
        <w:drawing>
          <wp:inline>
            <wp:extent cx="3551722" cy="2666197"/>
            <wp:effectExtent b="0" l="0" r="0" t="0"/>
            <wp:docPr descr="Figure 1: Рис. №1 - Код задачи №1" title="" id="24" name="Picture"/>
            <a:graphic>
              <a:graphicData uri="http://schemas.openxmlformats.org/drawingml/2006/picture">
                <pic:pic>
                  <pic:nvPicPr>
                    <pic:cNvPr descr="images/image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 №1 - Код задачи №1</w:t>
      </w:r>
    </w:p>
    <w:p>
      <w:pPr>
        <w:numPr>
          <w:ilvl w:val="0"/>
          <w:numId w:val="1004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30" w:name="fig:002"/>
      <w:r>
        <w:drawing>
          <wp:inline>
            <wp:extent cx="1828800" cy="1222408"/>
            <wp:effectExtent b="0" l="0" r="0" t="0"/>
            <wp:docPr descr="Figure 2: Рис. №2 - Настройки симуляции задачи №1" title="" id="28" name="Picture"/>
            <a:graphic>
              <a:graphicData uri="http://schemas.openxmlformats.org/drawingml/2006/picture">
                <pic:pic>
                  <pic:nvPicPr>
                    <pic:cNvPr descr="images/image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Рис. №2 - Настройки симуляции задачи №1</w:t>
      </w:r>
    </w:p>
    <w:p>
      <w:pPr>
        <w:numPr>
          <w:ilvl w:val="0"/>
          <w:numId w:val="1005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34" w:name="fig:003"/>
      <w:r>
        <w:drawing>
          <wp:inline>
            <wp:extent cx="5334000" cy="3236562"/>
            <wp:effectExtent b="0" l="0" r="0" t="0"/>
            <wp:docPr descr="Figure 3: Рис. №3 - Результат симуляции задачи №1" title="" id="32" name="Picture"/>
            <a:graphic>
              <a:graphicData uri="http://schemas.openxmlformats.org/drawingml/2006/picture">
                <pic:pic>
                  <pic:nvPicPr>
                    <pic:cNvPr descr="images/image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Рис. №3 - Результат симуляции задачи №1</w:t>
      </w:r>
    </w:p>
    <w:p>
      <w:pPr>
        <w:pStyle w:val="BodyText"/>
      </w:pPr>
      <w:r>
        <w:t xml:space="preserve">По графику видим, что численность армии Х превосходит численность армии У.</w:t>
      </w:r>
    </w:p>
    <w:p>
      <w:pPr>
        <w:numPr>
          <w:ilvl w:val="0"/>
          <w:numId w:val="1006"/>
        </w:numPr>
        <w:pStyle w:val="Compact"/>
      </w:pPr>
      <w:r>
        <w:t xml:space="preserve">Изменяем код программы под задачу №2:</w:t>
      </w:r>
    </w:p>
    <w:p>
      <w:pPr>
        <w:pStyle w:val="CaptionedFigure"/>
      </w:pPr>
      <w:bookmarkStart w:id="38" w:name="fig:004"/>
      <w:r>
        <w:drawing>
          <wp:inline>
            <wp:extent cx="3609473" cy="2627696"/>
            <wp:effectExtent b="0" l="0" r="0" t="0"/>
            <wp:docPr descr="Figure 4: Рис. №4 - Код задачи №2" title="" id="36" name="Picture"/>
            <a:graphic>
              <a:graphicData uri="http://schemas.openxmlformats.org/drawingml/2006/picture">
                <pic:pic>
                  <pic:nvPicPr>
                    <pic:cNvPr descr="images/image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 №4 - Код задачи №2</w:t>
      </w:r>
    </w:p>
    <w:p>
      <w:pPr>
        <w:numPr>
          <w:ilvl w:val="0"/>
          <w:numId w:val="1007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42" w:name="fig:005"/>
      <w:r>
        <w:drawing>
          <wp:inline>
            <wp:extent cx="1828800" cy="1260909"/>
            <wp:effectExtent b="0" l="0" r="0" t="0"/>
            <wp:docPr descr="Figure 5: Рис. №5 - Настройки симуляции задачи №2" title="" id="40" name="Picture"/>
            <a:graphic>
              <a:graphicData uri="http://schemas.openxmlformats.org/drawingml/2006/picture">
                <pic:pic>
                  <pic:nvPicPr>
                    <pic:cNvPr descr="images/image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Рис. №5 - Настройки симуляции задачи №2</w:t>
      </w:r>
    </w:p>
    <w:p>
      <w:pPr>
        <w:numPr>
          <w:ilvl w:val="0"/>
          <w:numId w:val="1008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46" w:name="fig:006"/>
      <w:r>
        <w:drawing>
          <wp:inline>
            <wp:extent cx="5334000" cy="3570991"/>
            <wp:effectExtent b="0" l="0" r="0" t="0"/>
            <wp:docPr descr="Figure 6: Рис. №6 - Результат симуляции задачи №2" title="" id="44" name="Picture"/>
            <a:graphic>
              <a:graphicData uri="http://schemas.openxmlformats.org/drawingml/2006/picture">
                <pic:pic>
                  <pic:nvPicPr>
                    <pic:cNvPr descr="images/image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Рис. №6 - Результат симуляции задачи №2</w:t>
      </w:r>
    </w:p>
    <w:p>
      <w:pPr>
        <w:pStyle w:val="BodyText"/>
      </w:pPr>
      <w:r>
        <w:t xml:space="preserve">По графику видим, что численность армии Х превосходит численность армии У.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рассмотрели 2 модели боя: модель боевых действий между регулярными войсками, модель ведение боевых действий с участием регулярных войск и партизанских отрядов. Для этого были построены графики y(t) и x(t).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Д.В. Гор</w:t>
      </w:r>
      <w:r>
        <w:softHyphen/>
      </w:r>
      <w:r>
        <w:t xml:space="preserve">ди</w:t>
      </w:r>
      <w:r>
        <w:softHyphen/>
      </w:r>
      <w:r>
        <w:t xml:space="preserve">ен</w:t>
      </w:r>
      <w:r>
        <w:softHyphen/>
      </w:r>
      <w:r>
        <w:t xml:space="preserve">ко</w:t>
      </w:r>
      <w:r>
        <w:t xml:space="preserve"> </w:t>
      </w:r>
      <w:r>
        <w:t xml:space="preserve">“</w:t>
      </w:r>
      <w:r>
        <w:t xml:space="preserve">МОДЕЛИРОВАНИЕ БОЕВЫХ ДЕЙСТВИЙ</w:t>
      </w:r>
      <w:r>
        <w:t xml:space="preserve">”</w:t>
      </w:r>
      <w:r>
        <w:t xml:space="preserve">,(https://clck.ru/cBXiK)</w:t>
      </w:r>
    </w:p>
    <w:p>
      <w:pPr>
        <w:numPr>
          <w:ilvl w:val="0"/>
          <w:numId w:val="1009"/>
        </w:numPr>
      </w:pPr>
      <w:r>
        <w:t xml:space="preserve">Методические материалы курса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Ильин Никита Евгеньевич</dc:creator>
  <dc:language>ru-RU</dc:language>
  <cp:keywords/>
  <dcterms:created xsi:type="dcterms:W3CDTF">2022-02-25T10:04:43Z</dcterms:created>
  <dcterms:modified xsi:type="dcterms:W3CDTF">2022-02-25T10:04:43Z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Feb 10th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Модель боевых действий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