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8.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конкуренции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модели конкуренции двух фирм в OpenModelica.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τ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τ</m:t>
              </m:r>
              <m:r>
                <m:t>1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N - число потребителей производимого продукта,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цикла, pcr - критическая стоимость продукта, p - себестоимость продукта, q - максимальная потребность одного человека в продукте в единицу времени,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bookmarkEnd w:id="22"/>
    <w:bookmarkStart w:id="23" w:name="начальные-данны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Начальные данные</w:t>
      </w:r>
    </w:p>
    <w:p>
      <w:pPr>
        <w:pStyle w:val="FirstParagraph"/>
      </w:pPr>
      <w:r>
        <w:t xml:space="preserve">В варианте 34 дано: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10.5</m:t>
          </m:r>
        </m:oMath>
      </m:oMathPara>
    </w:p>
    <w:bookmarkEnd w:id="23"/>
    <w:bookmarkStart w:id="33" w:name="ход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программу на языке Modelica.</w:t>
      </w:r>
    </w:p>
    <w:p>
      <w:pPr>
        <w:pStyle w:val="CaptionedFigure"/>
      </w:pPr>
      <w:r>
        <w:drawing>
          <wp:inline>
            <wp:extent cx="5334000" cy="3547990"/>
            <wp:effectExtent b="0" l="0" r="0" t="0"/>
            <wp:docPr descr="Рис 1. Код программы" title="" id="25" name="Picture"/>
            <a:graphic>
              <a:graphicData uri="http://schemas.openxmlformats.org/drawingml/2006/picture">
                <pic:pic>
                  <pic:nvPicPr>
                    <pic:cNvPr descr="images/image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</w:t>
      </w:r>
    </w:p>
    <w:p>
      <w:pPr>
        <w:pStyle w:val="CaptionedFigure"/>
      </w:pPr>
      <w:r>
        <w:drawing>
          <wp:inline>
            <wp:extent cx="5334000" cy="4582070"/>
            <wp:effectExtent b="0" l="0" r="0" t="0"/>
            <wp:docPr descr="Рис 2. графики изменения оборотных средств без учета социально-психологического фактора" title="" id="28" name="Picture"/>
            <a:graphic>
              <a:graphicData uri="http://schemas.openxmlformats.org/drawingml/2006/picture">
                <pic:pic>
                  <pic:nvPicPr>
                    <pic:cNvPr descr="images/image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графики изменения оборотных средств без учета социально-психологического фактора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</w:t>
      </w:r>
    </w:p>
    <w:p>
      <w:pPr>
        <w:pStyle w:val="CaptionedFigure"/>
      </w:pPr>
      <w:r>
        <w:drawing>
          <wp:inline>
            <wp:extent cx="5334000" cy="4718837"/>
            <wp:effectExtent b="0" l="0" r="0" t="0"/>
            <wp:docPr descr="Рис 3. графики изменения оборотных средств c учетом социально-психологического фактора" title="" id="31" name="Picture"/>
            <a:graphic>
              <a:graphicData uri="http://schemas.openxmlformats.org/drawingml/2006/picture">
                <pic:pic>
                  <pic:nvPicPr>
                    <pic:cNvPr descr="images/image0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графики изменения оборотных средств c учетом социально-психологического фактора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построены модели конкуренции двух фирм для двух случаев.</w:t>
      </w:r>
    </w:p>
    <w:bookmarkEnd w:id="34"/>
    <w:bookmarkStart w:id="35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8. Модели конкуренции</dc:title>
  <dc:creator>Ильин Никита Евгеньевич</dc:creator>
  <dc:language>ru-RU</dc:language>
  <cp:keywords/>
  <dcterms:created xsi:type="dcterms:W3CDTF">2022-03-29T14:00:14Z</dcterms:created>
  <dcterms:modified xsi:type="dcterms:W3CDTF">2022-03-29T14:00:14Z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10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