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62DE" w14:textId="0014B11E" w:rsidR="00310FB0" w:rsidRDefault="00000000">
      <w:pPr>
        <w:spacing w:after="40"/>
      </w:pPr>
      <w:r>
        <w:rPr>
          <w:b/>
          <w:bCs/>
          <w:color w:val="B8862F"/>
          <w:sz w:val="18"/>
          <w:szCs w:val="18"/>
        </w:rPr>
        <w:t>PORTFOLIO PROJECT SUMMARY · REAL DATA</w:t>
      </w:r>
    </w:p>
    <w:p w14:paraId="3E1ECA2C" w14:textId="77777777" w:rsidR="00310FB0" w:rsidRDefault="00000000">
      <w:pPr>
        <w:spacing w:after="100"/>
      </w:pPr>
      <w:r>
        <w:rPr>
          <w:b/>
          <w:bCs/>
          <w:color w:val="1C2B48"/>
          <w:sz w:val="32"/>
          <w:szCs w:val="32"/>
        </w:rPr>
        <w:t>Consumer Loan Risk Analysis — Lending Club (2007–2011)</w:t>
      </w:r>
    </w:p>
    <w:p w14:paraId="3E3EC6A3" w14:textId="77777777" w:rsidR="00310FB0" w:rsidRDefault="00000000">
      <w:pPr>
        <w:spacing w:after="200"/>
      </w:pPr>
      <w:r>
        <w:rPr>
          <w:i/>
          <w:iCs/>
          <w:color w:val="545B6B"/>
        </w:rPr>
        <w:t>Analysis of 39,717 real consumer loans issued 2007–2011, sourced via Kaggle (</w:t>
      </w:r>
      <w:proofErr w:type="spellStart"/>
      <w:r>
        <w:rPr>
          <w:i/>
          <w:iCs/>
          <w:color w:val="545B6B"/>
        </w:rPr>
        <w:t>imsparsh</w:t>
      </w:r>
      <w:proofErr w:type="spellEnd"/>
      <w:r>
        <w:rPr>
          <w:i/>
          <w:iCs/>
          <w:color w:val="545B6B"/>
        </w:rPr>
        <w:t>/lending-club-loan-dataset-2007-2011, CC0-1.0). Every finding below was checked against sample size before being trusted.</w:t>
      </w:r>
    </w:p>
    <w:p w14:paraId="09572E17" w14:textId="77777777" w:rsidR="00310FB0" w:rsidRDefault="00310FB0">
      <w:pPr>
        <w:pBdr>
          <w:bottom w:val="single" w:sz="6" w:space="4" w:color="DCD6C8"/>
        </w:pBdr>
        <w:spacing w:after="200"/>
      </w:pPr>
    </w:p>
    <w:p w14:paraId="708FD7C8" w14:textId="77777777" w:rsidR="00310FB0" w:rsidRDefault="00000000">
      <w:pPr>
        <w:spacing w:after="100"/>
      </w:pPr>
      <w:r>
        <w:rPr>
          <w:b/>
          <w:bCs/>
          <w:color w:val="1C2B48"/>
          <w:sz w:val="22"/>
          <w:szCs w:val="22"/>
        </w:rPr>
        <w:t>Portfolio snapshot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310FB0" w14:paraId="2BB36BE6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F7F4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561308" w14:textId="77777777" w:rsidR="00310FB0" w:rsidRDefault="00000000">
            <w:r>
              <w:rPr>
                <w:b/>
                <w:bCs/>
                <w:color w:val="1C2B48"/>
                <w:sz w:val="28"/>
                <w:szCs w:val="28"/>
              </w:rPr>
              <w:t>39,717</w:t>
            </w:r>
          </w:p>
          <w:p w14:paraId="56251204" w14:textId="63001F91" w:rsidR="00310FB0" w:rsidRDefault="00000000">
            <w:r>
              <w:rPr>
                <w:color w:val="545B6B"/>
                <w:sz w:val="16"/>
                <w:szCs w:val="16"/>
              </w:rPr>
              <w:t xml:space="preserve">real loans </w:t>
            </w:r>
            <w:proofErr w:type="spellStart"/>
            <w:r>
              <w:rPr>
                <w:color w:val="545B6B"/>
                <w:sz w:val="16"/>
                <w:szCs w:val="16"/>
              </w:rPr>
              <w:t>analy</w:t>
            </w:r>
            <w:r w:rsidR="00814576">
              <w:rPr>
                <w:color w:val="545B6B"/>
                <w:sz w:val="16"/>
                <w:szCs w:val="16"/>
              </w:rPr>
              <w:t>S</w:t>
            </w:r>
            <w:r>
              <w:rPr>
                <w:color w:val="545B6B"/>
                <w:sz w:val="16"/>
                <w:szCs w:val="16"/>
              </w:rPr>
              <w:t>ed</w:t>
            </w:r>
            <w:proofErr w:type="spellEnd"/>
          </w:p>
        </w:tc>
        <w:tc>
          <w:tcPr>
            <w:tcW w:w="2610" w:type="dxa"/>
            <w:shd w:val="clear" w:color="auto" w:fill="F7F4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3103CF" w14:textId="77777777" w:rsidR="00310FB0" w:rsidRDefault="00000000">
            <w:r>
              <w:rPr>
                <w:b/>
                <w:bCs/>
                <w:color w:val="1C2B48"/>
                <w:sz w:val="28"/>
                <w:szCs w:val="28"/>
              </w:rPr>
              <w:t>$445.6M</w:t>
            </w:r>
          </w:p>
          <w:p w14:paraId="5E6C0CAA" w14:textId="77777777" w:rsidR="00310FB0" w:rsidRDefault="00000000">
            <w:r>
              <w:rPr>
                <w:color w:val="545B6B"/>
                <w:sz w:val="16"/>
                <w:szCs w:val="16"/>
              </w:rPr>
              <w:t>total volume</w:t>
            </w:r>
          </w:p>
        </w:tc>
        <w:tc>
          <w:tcPr>
            <w:tcW w:w="2610" w:type="dxa"/>
            <w:shd w:val="clear" w:color="auto" w:fill="F7F4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2EC83F" w14:textId="77777777" w:rsidR="00310FB0" w:rsidRDefault="00000000">
            <w:r>
              <w:rPr>
                <w:b/>
                <w:bCs/>
                <w:color w:val="1C2B48"/>
                <w:sz w:val="28"/>
                <w:szCs w:val="28"/>
              </w:rPr>
              <w:t>14.2%</w:t>
            </w:r>
          </w:p>
          <w:p w14:paraId="07C507B6" w14:textId="77777777" w:rsidR="00310FB0" w:rsidRDefault="00000000">
            <w:r>
              <w:rPr>
                <w:color w:val="545B6B"/>
                <w:sz w:val="16"/>
                <w:szCs w:val="16"/>
              </w:rPr>
              <w:t>default rate</w:t>
            </w:r>
          </w:p>
        </w:tc>
        <w:tc>
          <w:tcPr>
            <w:tcW w:w="2610" w:type="dxa"/>
            <w:shd w:val="clear" w:color="auto" w:fill="F7F4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C5771B" w14:textId="77777777" w:rsidR="00310FB0" w:rsidRDefault="00000000">
            <w:r>
              <w:rPr>
                <w:b/>
                <w:bCs/>
                <w:color w:val="1C2B48"/>
                <w:sz w:val="28"/>
                <w:szCs w:val="28"/>
              </w:rPr>
              <w:t>2007–11</w:t>
            </w:r>
          </w:p>
          <w:p w14:paraId="2E77242C" w14:textId="77777777" w:rsidR="00310FB0" w:rsidRDefault="00000000">
            <w:r>
              <w:rPr>
                <w:color w:val="545B6B"/>
                <w:sz w:val="16"/>
                <w:szCs w:val="16"/>
              </w:rPr>
              <w:t>origination window</w:t>
            </w:r>
          </w:p>
        </w:tc>
      </w:tr>
    </w:tbl>
    <w:p w14:paraId="1D3F2E13" w14:textId="77777777" w:rsidR="00310FB0" w:rsidRDefault="00000000">
      <w:pPr>
        <w:spacing w:before="220" w:after="60"/>
      </w:pPr>
      <w:r w:rsidRPr="00814576">
        <w:rPr>
          <w:b/>
          <w:bCs/>
          <w:color w:val="EE0000"/>
          <w:sz w:val="18"/>
          <w:szCs w:val="18"/>
        </w:rPr>
        <w:t xml:space="preserve">Finding 1 </w:t>
      </w:r>
      <w:r>
        <w:rPr>
          <w:b/>
          <w:bCs/>
          <w:color w:val="B8862F"/>
          <w:sz w:val="18"/>
          <w:szCs w:val="18"/>
        </w:rPr>
        <w:t xml:space="preserve">· </w:t>
      </w:r>
      <w:r>
        <w:rPr>
          <w:b/>
          <w:bCs/>
          <w:color w:val="1C2B48"/>
          <w:sz w:val="24"/>
          <w:szCs w:val="24"/>
        </w:rPr>
        <w:t>Grade predicts default risk cleanly, with no exceptions.</w:t>
      </w:r>
    </w:p>
    <w:p w14:paraId="1BD74860" w14:textId="77777777" w:rsidR="00310FB0" w:rsidRDefault="00000000">
      <w:pPr>
        <w:spacing w:after="80"/>
      </w:pPr>
      <w:r>
        <w:rPr>
          <w:color w:val="1C2230"/>
          <w:sz w:val="21"/>
          <w:szCs w:val="21"/>
        </w:rPr>
        <w:t>Default rate rises in a fully monotonic pattern from grade A (6.0%) to grade G (32.0%) — every single grade riskier than the one before it, with no reversals. Every grade, even G (the smallest at 316 loans), has a large enough sample to trust the full pattern.</w:t>
      </w:r>
    </w:p>
    <w:p w14:paraId="2D004A91" w14:textId="77777777" w:rsidR="00310FB0" w:rsidRDefault="00000000">
      <w:pPr>
        <w:spacing w:before="220" w:after="60"/>
      </w:pPr>
      <w:r w:rsidRPr="00814576">
        <w:rPr>
          <w:b/>
          <w:bCs/>
          <w:color w:val="EE0000"/>
          <w:sz w:val="18"/>
          <w:szCs w:val="18"/>
        </w:rPr>
        <w:t xml:space="preserve">Finding 2 </w:t>
      </w:r>
      <w:r>
        <w:rPr>
          <w:b/>
          <w:bCs/>
          <w:color w:val="B8862F"/>
          <w:sz w:val="18"/>
          <w:szCs w:val="18"/>
        </w:rPr>
        <w:t xml:space="preserve">· </w:t>
      </w:r>
      <w:r>
        <w:rPr>
          <w:b/>
          <w:bCs/>
          <w:color w:val="1C2B48"/>
          <w:sz w:val="24"/>
          <w:szCs w:val="24"/>
        </w:rPr>
        <w:t>Income matters, but the real-world effect is modest.</w:t>
      </w:r>
    </w:p>
    <w:p w14:paraId="7F395F49" w14:textId="77777777" w:rsidR="00310FB0" w:rsidRDefault="00000000">
      <w:pPr>
        <w:spacing w:after="80"/>
      </w:pPr>
      <w:r>
        <w:rPr>
          <w:color w:val="1C2230"/>
          <w:sz w:val="21"/>
          <w:szCs w:val="21"/>
        </w:rPr>
        <w:t>Borrowers who defaulted earned $62,427 on average, versus $70,049 for those who repaid — a real but modest gap of about $7,600. This is a genuine signal, though smaller than a single-variable illustration might suggest; real default risk is driven by many interacting factors at once.</w:t>
      </w:r>
    </w:p>
    <w:p w14:paraId="57095FB7" w14:textId="77777777" w:rsidR="00310FB0" w:rsidRDefault="00000000">
      <w:pPr>
        <w:spacing w:before="220" w:after="60"/>
      </w:pPr>
      <w:r w:rsidRPr="00814576">
        <w:rPr>
          <w:b/>
          <w:bCs/>
          <w:color w:val="EE0000"/>
          <w:sz w:val="18"/>
          <w:szCs w:val="18"/>
        </w:rPr>
        <w:t xml:space="preserve">Finding 3 </w:t>
      </w:r>
      <w:r>
        <w:rPr>
          <w:b/>
          <w:bCs/>
          <w:color w:val="B8862F"/>
          <w:sz w:val="18"/>
          <w:szCs w:val="18"/>
        </w:rPr>
        <w:t xml:space="preserve">· </w:t>
      </w:r>
      <w:r>
        <w:rPr>
          <w:b/>
          <w:bCs/>
          <w:color w:val="1C2B48"/>
          <w:sz w:val="24"/>
          <w:szCs w:val="24"/>
        </w:rPr>
        <w:t>Small business loans default at nearly double the rate of other purposes.</w:t>
      </w:r>
    </w:p>
    <w:p w14:paraId="1DA9D469" w14:textId="77777777" w:rsidR="00310FB0" w:rsidRDefault="00000000">
      <w:pPr>
        <w:spacing w:after="80"/>
      </w:pPr>
      <w:r>
        <w:rPr>
          <w:color w:val="1C2230"/>
          <w:sz w:val="21"/>
          <w:szCs w:val="21"/>
        </w:rPr>
        <w:t>Most well-sampled loan purposes cluster between 10–16% default. Small business is the clear outlier at 26.0%, backed by 1,828 loans — a real, trustworthy finding, not small-sample noise. A likely explanation: small business loans carry venture risk (the business itself can fail), while purposes like debt consolidation are backed by steadier personal income.</w:t>
      </w:r>
    </w:p>
    <w:p w14:paraId="17468D53" w14:textId="77777777" w:rsidR="00310FB0" w:rsidRDefault="00000000">
      <w:pPr>
        <w:spacing w:before="220" w:after="60"/>
      </w:pPr>
      <w:r w:rsidRPr="00814576">
        <w:rPr>
          <w:b/>
          <w:bCs/>
          <w:color w:val="EE0000"/>
          <w:sz w:val="18"/>
          <w:szCs w:val="18"/>
        </w:rPr>
        <w:t xml:space="preserve">Finding 4 · </w:t>
      </w:r>
      <w:r>
        <w:rPr>
          <w:b/>
          <w:bCs/>
          <w:color w:val="1C2B48"/>
          <w:sz w:val="24"/>
          <w:szCs w:val="24"/>
        </w:rPr>
        <w:t>Loan volume grew roughly 2,000x in four years, with a visible 2008 dip.</w:t>
      </w:r>
    </w:p>
    <w:p w14:paraId="08A86014" w14:textId="77777777" w:rsidR="00310FB0" w:rsidRDefault="00000000">
      <w:pPr>
        <w:spacing w:after="80"/>
      </w:pPr>
      <w:r>
        <w:rPr>
          <w:color w:val="1C2230"/>
          <w:sz w:val="21"/>
          <w:szCs w:val="21"/>
        </w:rPr>
        <w:t>Monthly origination volume climbed from $7,500 (June 2007) to $31.5M (December 2011). Volume visibly contracted in mid-to-late 2008, coinciding with the financial crisis, before entering sustained growth through 2011 — a real macroeconomic event visible directly in the data.</w:t>
      </w:r>
    </w:p>
    <w:p w14:paraId="3E7A9836" w14:textId="77777777" w:rsidR="00310FB0" w:rsidRDefault="00000000">
      <w:pPr>
        <w:spacing w:before="220" w:after="60"/>
      </w:pPr>
      <w:r w:rsidRPr="00814576">
        <w:rPr>
          <w:b/>
          <w:bCs/>
          <w:color w:val="EE0000"/>
          <w:sz w:val="18"/>
          <w:szCs w:val="18"/>
        </w:rPr>
        <w:t xml:space="preserve">Finding 5 </w:t>
      </w:r>
      <w:r>
        <w:rPr>
          <w:b/>
          <w:bCs/>
          <w:color w:val="B8862F"/>
          <w:sz w:val="18"/>
          <w:szCs w:val="18"/>
        </w:rPr>
        <w:t xml:space="preserve">· </w:t>
      </w:r>
      <w:r>
        <w:rPr>
          <w:b/>
          <w:bCs/>
          <w:color w:val="1C2B48"/>
          <w:sz w:val="24"/>
          <w:szCs w:val="24"/>
        </w:rPr>
        <w:t>Overall portfolio default rate: 14.2%.</w:t>
      </w:r>
    </w:p>
    <w:p w14:paraId="002E2B42" w14:textId="2A2724ED" w:rsidR="00310FB0" w:rsidRDefault="00000000">
      <w:pPr>
        <w:spacing w:after="80"/>
      </w:pPr>
      <w:r>
        <w:rPr>
          <w:color w:val="1C2230"/>
          <w:sz w:val="21"/>
          <w:szCs w:val="21"/>
        </w:rPr>
        <w:t>Across all 39,717 loans and $445.6M in issued volume, roughly 1 in 7 loans was charged off. Excluding still</w:t>
      </w:r>
      <w:r w:rsidR="00814576">
        <w:rPr>
          <w:color w:val="1C2230"/>
          <w:sz w:val="21"/>
          <w:szCs w:val="21"/>
        </w:rPr>
        <w:t xml:space="preserve"> </w:t>
      </w:r>
      <w:r>
        <w:rPr>
          <w:color w:val="1C2230"/>
          <w:sz w:val="21"/>
          <w:szCs w:val="21"/>
        </w:rPr>
        <w:t>active "Current" loans moves this only slightly, to 14.6</w:t>
      </w:r>
      <w:proofErr w:type="gramStart"/>
      <w:r>
        <w:rPr>
          <w:color w:val="1C2230"/>
          <w:sz w:val="21"/>
          <w:szCs w:val="21"/>
        </w:rPr>
        <w:t xml:space="preserve">% </w:t>
      </w:r>
      <w:r w:rsidR="00814576">
        <w:rPr>
          <w:color w:val="1C2230"/>
          <w:sz w:val="21"/>
          <w:szCs w:val="21"/>
        </w:rPr>
        <w:t>.</w:t>
      </w:r>
      <w:proofErr w:type="gramEnd"/>
      <w:r w:rsidR="00814576">
        <w:rPr>
          <w:color w:val="1C2230"/>
          <w:sz w:val="21"/>
          <w:szCs w:val="21"/>
        </w:rPr>
        <w:t xml:space="preserve"> A</w:t>
      </w:r>
      <w:r>
        <w:rPr>
          <w:color w:val="1C2230"/>
          <w:sz w:val="21"/>
          <w:szCs w:val="21"/>
        </w:rPr>
        <w:t xml:space="preserve"> negligible difference, so the simpler definition (including Current loans) was kept.</w:t>
      </w:r>
    </w:p>
    <w:p w14:paraId="063E3C13" w14:textId="77777777" w:rsidR="00310FB0" w:rsidRDefault="00310FB0">
      <w:pPr>
        <w:pBdr>
          <w:bottom w:val="single" w:sz="6" w:space="4" w:color="DCD6C8"/>
        </w:pBdr>
        <w:spacing w:after="200"/>
      </w:pPr>
    </w:p>
    <w:p w14:paraId="1C93681E" w14:textId="77777777" w:rsidR="00310FB0" w:rsidRDefault="00000000">
      <w:pPr>
        <w:spacing w:after="100"/>
      </w:pPr>
      <w:r>
        <w:rPr>
          <w:b/>
          <w:bCs/>
          <w:color w:val="1C2B48"/>
          <w:sz w:val="22"/>
          <w:szCs w:val="22"/>
        </w:rPr>
        <w:t>Methodology notes</w:t>
      </w:r>
    </w:p>
    <w:p w14:paraId="5E0E061F" w14:textId="77777777" w:rsidR="00310FB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230"/>
        </w:rPr>
        <w:t>Type conversion: interest rate arrived as text with a % sign and was converted to a numeric field.</w:t>
      </w:r>
    </w:p>
    <w:p w14:paraId="5B0DC843" w14:textId="77777777" w:rsidR="00310FB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230"/>
        </w:rPr>
        <w:t>Text formatting: loan term had leading whitespace, stripped for consistency.</w:t>
      </w:r>
    </w:p>
    <w:p w14:paraId="3AC89133" w14:textId="3AC07289" w:rsidR="00310FB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230"/>
        </w:rPr>
        <w:t>Missing categorical data: employment length was missing for 2.7% of loans. Filling with the mode ("10+ years", already 23% of all values) would have exaggerated the largest group further, so missing values were filled with an explicit "Unknown" category instead — preserving honesty about what isn't known.</w:t>
      </w:r>
    </w:p>
    <w:p w14:paraId="3B7729B8" w14:textId="77777777" w:rsidR="00310FB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C2230"/>
        </w:rPr>
        <w:t>Default definition: "Charged Off" status only. Verified that excluding still-active "Current" loans did not meaningfully change the overall default rate before finalizing this definition.</w:t>
      </w:r>
    </w:p>
    <w:p w14:paraId="0DA2632A" w14:textId="03F6D4D4" w:rsidR="00310FB0" w:rsidRDefault="00310FB0" w:rsidP="00814576">
      <w:pPr>
        <w:spacing w:after="60"/>
      </w:pPr>
    </w:p>
    <w:sectPr w:rsidR="00310FB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91183"/>
    <w:multiLevelType w:val="hybridMultilevel"/>
    <w:tmpl w:val="1B7CBF56"/>
    <w:lvl w:ilvl="0" w:tplc="BFA84B4C">
      <w:start w:val="1"/>
      <w:numFmt w:val="bullet"/>
      <w:lvlText w:val="•"/>
      <w:lvlJc w:val="left"/>
      <w:pPr>
        <w:ind w:left="360" w:hanging="215"/>
      </w:pPr>
    </w:lvl>
    <w:lvl w:ilvl="1" w:tplc="20F2421E">
      <w:numFmt w:val="decimal"/>
      <w:lvlText w:val=""/>
      <w:lvlJc w:val="left"/>
    </w:lvl>
    <w:lvl w:ilvl="2" w:tplc="CE4CCF96">
      <w:numFmt w:val="decimal"/>
      <w:lvlText w:val=""/>
      <w:lvlJc w:val="left"/>
    </w:lvl>
    <w:lvl w:ilvl="3" w:tplc="396C5ECE">
      <w:numFmt w:val="decimal"/>
      <w:lvlText w:val=""/>
      <w:lvlJc w:val="left"/>
    </w:lvl>
    <w:lvl w:ilvl="4" w:tplc="8A926522">
      <w:numFmt w:val="decimal"/>
      <w:lvlText w:val=""/>
      <w:lvlJc w:val="left"/>
    </w:lvl>
    <w:lvl w:ilvl="5" w:tplc="503A37B4">
      <w:numFmt w:val="decimal"/>
      <w:lvlText w:val=""/>
      <w:lvlJc w:val="left"/>
    </w:lvl>
    <w:lvl w:ilvl="6" w:tplc="4500A0DE">
      <w:numFmt w:val="decimal"/>
      <w:lvlText w:val=""/>
      <w:lvlJc w:val="left"/>
    </w:lvl>
    <w:lvl w:ilvl="7" w:tplc="FDD0B02A">
      <w:numFmt w:val="decimal"/>
      <w:lvlText w:val=""/>
      <w:lvlJc w:val="left"/>
    </w:lvl>
    <w:lvl w:ilvl="8" w:tplc="E146D742">
      <w:numFmt w:val="decimal"/>
      <w:lvlText w:val=""/>
      <w:lvlJc w:val="left"/>
    </w:lvl>
  </w:abstractNum>
  <w:abstractNum w:abstractNumId="1" w15:restartNumberingAfterBreak="0">
    <w:nsid w:val="78EC40E5"/>
    <w:multiLevelType w:val="hybridMultilevel"/>
    <w:tmpl w:val="C1AED0D0"/>
    <w:lvl w:ilvl="0" w:tplc="73527150">
      <w:start w:val="1"/>
      <w:numFmt w:val="bullet"/>
      <w:lvlText w:val="●"/>
      <w:lvlJc w:val="left"/>
      <w:pPr>
        <w:ind w:left="720" w:hanging="360"/>
      </w:pPr>
    </w:lvl>
    <w:lvl w:ilvl="1" w:tplc="7CC8AB7E">
      <w:start w:val="1"/>
      <w:numFmt w:val="bullet"/>
      <w:lvlText w:val="○"/>
      <w:lvlJc w:val="left"/>
      <w:pPr>
        <w:ind w:left="1440" w:hanging="360"/>
      </w:pPr>
    </w:lvl>
    <w:lvl w:ilvl="2" w:tplc="B00404A0">
      <w:start w:val="1"/>
      <w:numFmt w:val="bullet"/>
      <w:lvlText w:val="■"/>
      <w:lvlJc w:val="left"/>
      <w:pPr>
        <w:ind w:left="2160" w:hanging="360"/>
      </w:pPr>
    </w:lvl>
    <w:lvl w:ilvl="3" w:tplc="A63248C2">
      <w:start w:val="1"/>
      <w:numFmt w:val="bullet"/>
      <w:lvlText w:val="●"/>
      <w:lvlJc w:val="left"/>
      <w:pPr>
        <w:ind w:left="2880" w:hanging="360"/>
      </w:pPr>
    </w:lvl>
    <w:lvl w:ilvl="4" w:tplc="C324B0AC">
      <w:start w:val="1"/>
      <w:numFmt w:val="bullet"/>
      <w:lvlText w:val="○"/>
      <w:lvlJc w:val="left"/>
      <w:pPr>
        <w:ind w:left="3600" w:hanging="360"/>
      </w:pPr>
    </w:lvl>
    <w:lvl w:ilvl="5" w:tplc="4D842C6E">
      <w:start w:val="1"/>
      <w:numFmt w:val="bullet"/>
      <w:lvlText w:val="■"/>
      <w:lvlJc w:val="left"/>
      <w:pPr>
        <w:ind w:left="4320" w:hanging="360"/>
      </w:pPr>
    </w:lvl>
    <w:lvl w:ilvl="6" w:tplc="03764436">
      <w:start w:val="1"/>
      <w:numFmt w:val="bullet"/>
      <w:lvlText w:val="●"/>
      <w:lvlJc w:val="left"/>
      <w:pPr>
        <w:ind w:left="5040" w:hanging="360"/>
      </w:pPr>
    </w:lvl>
    <w:lvl w:ilvl="7" w:tplc="4F0A965C">
      <w:start w:val="1"/>
      <w:numFmt w:val="bullet"/>
      <w:lvlText w:val="●"/>
      <w:lvlJc w:val="left"/>
      <w:pPr>
        <w:ind w:left="5760" w:hanging="360"/>
      </w:pPr>
    </w:lvl>
    <w:lvl w:ilvl="8" w:tplc="D3E0CD08">
      <w:start w:val="1"/>
      <w:numFmt w:val="bullet"/>
      <w:lvlText w:val="●"/>
      <w:lvlJc w:val="left"/>
      <w:pPr>
        <w:ind w:left="6480" w:hanging="360"/>
      </w:pPr>
    </w:lvl>
  </w:abstractNum>
  <w:num w:numId="1" w16cid:durableId="256836163">
    <w:abstractNumId w:val="1"/>
    <w:lvlOverride w:ilvl="0">
      <w:startOverride w:val="1"/>
    </w:lvlOverride>
  </w:num>
  <w:num w:numId="2" w16cid:durableId="1291010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B0"/>
    <w:rsid w:val="00310FB0"/>
    <w:rsid w:val="00384BC0"/>
    <w:rsid w:val="0081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E6B0"/>
  <w15:docId w15:val="{700585B0-65CE-45B8-9DC7-9C3E7026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Hellen Nkunja</cp:lastModifiedBy>
  <cp:revision>2</cp:revision>
  <dcterms:created xsi:type="dcterms:W3CDTF">2026-09-21T12:29:00Z</dcterms:created>
  <dcterms:modified xsi:type="dcterms:W3CDTF">2026-09-22T22:53:00Z</dcterms:modified>
</cp:coreProperties>
</file>