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DAR ES SALAAM</w:t>
      </w:r>
    </w:p>
    <w:p w:rsidR="00000000" w:rsidDel="00000000" w:rsidP="00000000" w:rsidRDefault="00000000" w:rsidRPr="00000000" w14:paraId="00000002">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PROPOSAL FOR PARTIAL FULFILLMENT OF MASTER OF SCIENCE</w:t>
      </w:r>
    </w:p>
    <w:p w:rsidR="00000000" w:rsidDel="00000000" w:rsidP="00000000" w:rsidRDefault="00000000" w:rsidRPr="00000000" w14:paraId="00000003">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DEGREE IN DATA SCIENCE BY COURSEWORK AND DISSERTATION.</w:t>
      </w:r>
    </w:p>
    <w:p w:rsidR="00000000" w:rsidDel="00000000" w:rsidP="00000000" w:rsidRDefault="00000000" w:rsidRPr="00000000" w14:paraId="00000004">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45.0" w:type="dxa"/>
        <w:jc w:val="left"/>
        <w:tblLayout w:type="fixed"/>
        <w:tblLook w:val="0400"/>
      </w:tblPr>
      <w:tblGrid>
        <w:gridCol w:w="3143"/>
        <w:gridCol w:w="6202"/>
        <w:tblGridChange w:id="0">
          <w:tblGrid>
            <w:gridCol w:w="3143"/>
            <w:gridCol w:w="6202"/>
          </w:tblGrid>
        </w:tblGridChange>
      </w:tblGrid>
      <w:tr>
        <w:trPr>
          <w:cantSplit w:val="0"/>
          <w:trHeight w:val="1323" w:hRule="atLeast"/>
          <w:tblHeader w:val="0"/>
        </w:trPr>
        <w:tc>
          <w:tcPr/>
          <w:p w:rsidR="00000000" w:rsidDel="00000000" w:rsidP="00000000" w:rsidRDefault="00000000" w:rsidRPr="00000000" w14:paraId="00000006">
            <w:pPr>
              <w:spacing w:before="84" w:line="360" w:lineRule="auto"/>
              <w:ind w:left="4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Candidate:</w:t>
            </w:r>
          </w:p>
        </w:tc>
        <w:tc>
          <w:tcPr/>
          <w:p w:rsidR="00000000" w:rsidDel="00000000" w:rsidP="00000000" w:rsidRDefault="00000000" w:rsidRPr="00000000" w14:paraId="00000007">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Mntambo, Stephen W</w:t>
            </w:r>
          </w:p>
          <w:p w:rsidR="00000000" w:rsidDel="00000000" w:rsidP="00000000" w:rsidRDefault="00000000" w:rsidRPr="00000000" w14:paraId="00000008">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2022-06-01734</w:t>
            </w:r>
          </w:p>
        </w:tc>
      </w:tr>
      <w:tr>
        <w:trPr>
          <w:cantSplit w:val="0"/>
          <w:trHeight w:val="990" w:hRule="atLeast"/>
          <w:tblHeader w:val="0"/>
        </w:trPr>
        <w:tc>
          <w:tcPr/>
          <w:p w:rsidR="00000000" w:rsidDel="00000000" w:rsidP="00000000" w:rsidRDefault="00000000" w:rsidRPr="00000000" w14:paraId="00000009">
            <w:pPr>
              <w:spacing w:before="84" w:line="360" w:lineRule="auto"/>
              <w:ind w:left="4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Supervisor:</w:t>
            </w:r>
          </w:p>
        </w:tc>
        <w:tc>
          <w:tcPr/>
          <w:p w:rsidR="00000000" w:rsidDel="00000000" w:rsidP="00000000" w:rsidRDefault="00000000" w:rsidRPr="00000000" w14:paraId="0000000A">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Wilfred Senyoni</w:t>
            </w:r>
          </w:p>
        </w:tc>
      </w:tr>
      <w:tr>
        <w:trPr>
          <w:cantSplit w:val="0"/>
          <w:trHeight w:val="1080" w:hRule="atLeast"/>
          <w:tblHeader w:val="0"/>
        </w:trPr>
        <w:tc>
          <w:tcPr/>
          <w:p w:rsidR="00000000" w:rsidDel="00000000" w:rsidP="00000000" w:rsidRDefault="00000000" w:rsidRPr="00000000" w14:paraId="0000000B">
            <w:pPr>
              <w:spacing w:after="120" w:before="84" w:line="360" w:lineRule="auto"/>
              <w:ind w:left="4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/College:</w:t>
            </w:r>
          </w:p>
        </w:tc>
        <w:tc>
          <w:tcPr/>
          <w:p w:rsidR="00000000" w:rsidDel="00000000" w:rsidP="00000000" w:rsidRDefault="00000000" w:rsidRPr="00000000" w14:paraId="0000000C">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Information and Communication Technology</w:t>
            </w:r>
          </w:p>
          <w:p w:rsidR="00000000" w:rsidDel="00000000" w:rsidP="00000000" w:rsidRDefault="00000000" w:rsidRPr="00000000" w14:paraId="0000000D">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0E">
            <w:pPr>
              <w:spacing w:after="120" w:before="84" w:line="360" w:lineRule="auto"/>
              <w:ind w:left="4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Degree:</w:t>
            </w:r>
          </w:p>
        </w:tc>
        <w:tc>
          <w:tcPr/>
          <w:p w:rsidR="00000000" w:rsidDel="00000000" w:rsidP="00000000" w:rsidRDefault="00000000" w:rsidRPr="00000000" w14:paraId="0000000F">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Science in Data Science</w:t>
            </w:r>
          </w:p>
        </w:tc>
      </w:tr>
      <w:tr>
        <w:trPr>
          <w:cantSplit w:val="0"/>
          <w:tblHeader w:val="0"/>
        </w:trPr>
        <w:tc>
          <w:tcPr/>
          <w:p w:rsidR="00000000" w:rsidDel="00000000" w:rsidP="00000000" w:rsidRDefault="00000000" w:rsidRPr="00000000" w14:paraId="00000010">
            <w:pPr>
              <w:spacing w:after="120" w:before="84" w:line="360" w:lineRule="auto"/>
              <w:ind w:left="4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Title:</w:t>
            </w:r>
          </w:p>
        </w:tc>
        <w:tc>
          <w:tcPr/>
          <w:p w:rsidR="00000000" w:rsidDel="00000000" w:rsidP="00000000" w:rsidRDefault="00000000" w:rsidRPr="00000000" w14:paraId="00000011">
            <w:pPr>
              <w:spacing w:before="84"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Credit Risk Management of Commercial Banks in Tanzania Using Predictive Modeling Techniques. </w:t>
            </w:r>
          </w:p>
        </w:tc>
      </w:tr>
    </w:tbl>
    <w:p w:rsidR="00000000" w:rsidDel="00000000" w:rsidP="00000000" w:rsidRDefault="00000000" w:rsidRPr="00000000" w14:paraId="00000012">
      <w:pPr>
        <w:spacing w:before="84" w:line="360" w:lineRule="auto"/>
        <w:ind w:left="72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 </w:t>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General Introduction</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institutions play a crucial role in the functioning of any economy, akin to the vital function of blood arteries in the human body. Much like how blood vessels transport essential nutrients throughout the body, financial institutions channel financial resources for economic growth from depositories to areas where they are needed </w:t>
      </w:r>
      <w:hyperlink r:id="rId6">
        <w:r w:rsidDel="00000000" w:rsidR="00000000" w:rsidRPr="00000000">
          <w:rPr>
            <w:rFonts w:ascii="Times New Roman" w:cs="Times New Roman" w:eastAsia="Times New Roman" w:hAnsi="Times New Roman"/>
            <w:sz w:val="24"/>
            <w:szCs w:val="24"/>
            <w:vertAlign w:val="baseline"/>
            <w:rtl w:val="0"/>
          </w:rPr>
          <w:t xml:space="preserve">(Shanmugan &amp; Bourke, 1990)</w:t>
        </w:r>
      </w:hyperlink>
      <w:r w:rsidDel="00000000" w:rsidR="00000000" w:rsidRPr="00000000">
        <w:rPr>
          <w:rFonts w:ascii="Times New Roman" w:cs="Times New Roman" w:eastAsia="Times New Roman" w:hAnsi="Times New Roman"/>
          <w:sz w:val="24"/>
          <w:szCs w:val="24"/>
          <w:rtl w:val="0"/>
        </w:rPr>
        <w:t xml:space="preserve">. Among these financial institutions, commercial banks stand out as key contributors, serving as significant providers of financial information to the broader economy.They assume a particularly vital function in developing economies, especially in situations where borrowers lack access to capital markets </w:t>
      </w:r>
      <w:hyperlink r:id="rId7">
        <w:r w:rsidDel="00000000" w:rsidR="00000000" w:rsidRPr="00000000">
          <w:rPr>
            <w:rFonts w:ascii="Times New Roman" w:cs="Times New Roman" w:eastAsia="Times New Roman" w:hAnsi="Times New Roman"/>
            <w:sz w:val="24"/>
            <w:szCs w:val="24"/>
            <w:vertAlign w:val="baseline"/>
            <w:rtl w:val="0"/>
          </w:rPr>
          <w:t xml:space="preserve">(</w:t>
        </w:r>
      </w:hyperlink>
      <w:hyperlink r:id="rId8">
        <w:r w:rsidDel="00000000" w:rsidR="00000000" w:rsidRPr="00000000">
          <w:rPr>
            <w:rFonts w:ascii="Times New Roman" w:cs="Times New Roman" w:eastAsia="Times New Roman" w:hAnsi="Times New Roman"/>
            <w:sz w:val="24"/>
            <w:szCs w:val="24"/>
            <w:vertAlign w:val="baseline"/>
            <w:rtl w:val="0"/>
          </w:rPr>
          <w:t xml:space="preserve">Greuning</w:t>
        </w:r>
      </w:hyperlink>
      <w:hyperlink r:id="rId9">
        <w:r w:rsidDel="00000000" w:rsidR="00000000" w:rsidRPr="00000000">
          <w:rPr>
            <w:rFonts w:ascii="Times New Roman" w:cs="Times New Roman" w:eastAsia="Times New Roman" w:hAnsi="Times New Roman"/>
            <w:sz w:val="24"/>
            <w:szCs w:val="24"/>
            <w:vertAlign w:val="baseline"/>
            <w:rtl w:val="0"/>
          </w:rPr>
          <w:t xml:space="preserve"> et al., 2003)</w:t>
        </w:r>
      </w:hyperlink>
      <w:r w:rsidDel="00000000" w:rsidR="00000000" w:rsidRPr="00000000">
        <w:rPr>
          <w:rFonts w:ascii="Times New Roman" w:cs="Times New Roman" w:eastAsia="Times New Roman" w:hAnsi="Times New Roman"/>
          <w:sz w:val="24"/>
          <w:szCs w:val="24"/>
          <w:rtl w:val="0"/>
        </w:rPr>
        <w:t xml:space="preserve">. There is empirical support indicating that efficiently operating commercial banks contribute to the acceleration of economic growth, whereas poorly functioning ones hinder economic advancement and worsen poverty levels </w:t>
      </w:r>
      <w:hyperlink r:id="rId10">
        <w:r w:rsidDel="00000000" w:rsidR="00000000" w:rsidRPr="00000000">
          <w:rPr>
            <w:rFonts w:ascii="Times New Roman" w:cs="Times New Roman" w:eastAsia="Times New Roman" w:hAnsi="Times New Roman"/>
            <w:sz w:val="24"/>
            <w:szCs w:val="24"/>
            <w:vertAlign w:val="baseline"/>
            <w:rtl w:val="0"/>
          </w:rPr>
          <w:t xml:space="preserve">(Barth et al., n.d.)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banks (CBs) encounter various risks that can be classified into three main categories: financial risks (where credit risk, or CR, is a significant component), operational risks, and strategic risks </w:t>
      </w:r>
      <w:hyperlink r:id="rId11">
        <w:r w:rsidDel="00000000" w:rsidR="00000000" w:rsidRPr="00000000">
          <w:rPr>
            <w:rFonts w:ascii="Times New Roman" w:cs="Times New Roman" w:eastAsia="Times New Roman" w:hAnsi="Times New Roman"/>
            <w:sz w:val="24"/>
            <w:szCs w:val="24"/>
            <w:vertAlign w:val="baseline"/>
            <w:rtl w:val="0"/>
          </w:rPr>
          <w:t xml:space="preserve">(Saunders &amp; Cornett, 2018)</w:t>
        </w:r>
      </w:hyperlink>
      <w:r w:rsidDel="00000000" w:rsidR="00000000" w:rsidRPr="00000000">
        <w:rPr>
          <w:rFonts w:ascii="Times New Roman" w:cs="Times New Roman" w:eastAsia="Times New Roman" w:hAnsi="Times New Roman"/>
          <w:sz w:val="24"/>
          <w:szCs w:val="24"/>
          <w:rtl w:val="0"/>
        </w:rPr>
        <w:t xml:space="preserve">. These risks exert varying impacts on the performance of CBs, with credit risk, in particular, having severe consequences that can lead to bank failures </w:t>
      </w:r>
      <w:hyperlink r:id="rId12">
        <w:r w:rsidDel="00000000" w:rsidR="00000000" w:rsidRPr="00000000">
          <w:rPr>
            <w:rFonts w:ascii="Times New Roman" w:cs="Times New Roman" w:eastAsia="Times New Roman" w:hAnsi="Times New Roman"/>
            <w:sz w:val="24"/>
            <w:szCs w:val="24"/>
            <w:vertAlign w:val="baseline"/>
            <w:rtl w:val="0"/>
          </w:rPr>
          <w:t xml:space="preserve">(Chijoriga, 1997)</w:t>
        </w:r>
      </w:hyperlink>
      <w:r w:rsidDel="00000000" w:rsidR="00000000" w:rsidRPr="00000000">
        <w:rPr>
          <w:rFonts w:ascii="Times New Roman" w:cs="Times New Roman" w:eastAsia="Times New Roman" w:hAnsi="Times New Roman"/>
          <w:sz w:val="24"/>
          <w:szCs w:val="24"/>
          <w:rtl w:val="0"/>
        </w:rPr>
        <w:t xml:space="preserve">. In both matured and emerging economies, there has been a noticeable rise in significant banking issues over the years. Researchers have delved into the causes of these problems, identifying numerous factors (</w:t>
      </w:r>
      <w:hyperlink r:id="rId13">
        <w:r w:rsidDel="00000000" w:rsidR="00000000" w:rsidRPr="00000000">
          <w:rPr>
            <w:rFonts w:ascii="Times New Roman" w:cs="Times New Roman" w:eastAsia="Times New Roman" w:hAnsi="Times New Roman"/>
            <w:sz w:val="24"/>
            <w:szCs w:val="24"/>
            <w:vertAlign w:val="baseline"/>
            <w:rtl w:val="0"/>
          </w:rPr>
          <w:t xml:space="preserve">Chijoriga, 1997</w:t>
        </w:r>
      </w:hyperlink>
      <w:r w:rsidDel="00000000" w:rsidR="00000000" w:rsidRPr="00000000">
        <w:rPr>
          <w:rFonts w:ascii="Times New Roman" w:cs="Times New Roman" w:eastAsia="Times New Roman" w:hAnsi="Times New Roman"/>
          <w:sz w:val="24"/>
          <w:szCs w:val="24"/>
          <w:rtl w:val="0"/>
        </w:rPr>
        <w:t xml:space="preserve">; </w:t>
      </w:r>
      <w:hyperlink r:id="rId14">
        <w:r w:rsidDel="00000000" w:rsidR="00000000" w:rsidRPr="00000000">
          <w:rPr>
            <w:rFonts w:ascii="Times New Roman" w:cs="Times New Roman" w:eastAsia="Times New Roman" w:hAnsi="Times New Roman"/>
            <w:sz w:val="24"/>
            <w:szCs w:val="24"/>
            <w:vertAlign w:val="baseline"/>
            <w:rtl w:val="0"/>
          </w:rPr>
          <w:t xml:space="preserve">Santomero &amp; Babbel, 1997</w:t>
        </w:r>
      </w:hyperlink>
      <w:r w:rsidDel="00000000" w:rsidR="00000000" w:rsidRPr="00000000">
        <w:rPr>
          <w:rFonts w:ascii="Times New Roman" w:cs="Times New Roman" w:eastAsia="Times New Roman" w:hAnsi="Times New Roman"/>
          <w:sz w:val="24"/>
          <w:szCs w:val="24"/>
          <w:rtl w:val="0"/>
        </w:rPr>
        <w:t xml:space="preserve"> ; </w:t>
      </w:r>
      <w:hyperlink r:id="rId15">
        <w:r w:rsidDel="00000000" w:rsidR="00000000" w:rsidRPr="00000000">
          <w:rPr>
            <w:rFonts w:ascii="Times New Roman" w:cs="Times New Roman" w:eastAsia="Times New Roman" w:hAnsi="Times New Roman"/>
            <w:sz w:val="24"/>
            <w:szCs w:val="24"/>
            <w:vertAlign w:val="baseline"/>
            <w:rtl w:val="0"/>
          </w:rPr>
          <w:t xml:space="preserve">BrownBridge &amp; Harvey, 1998</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vertAlign w:val="baseline"/>
            <w:rtl w:val="0"/>
          </w:rPr>
          <w:t xml:space="preserve">Kimei, 1998</w:t>
        </w:r>
      </w:hyperlink>
      <w:r w:rsidDel="00000000" w:rsidR="00000000" w:rsidRPr="00000000">
        <w:rPr>
          <w:rFonts w:ascii="Times New Roman" w:cs="Times New Roman" w:eastAsia="Times New Roman" w:hAnsi="Times New Roman"/>
          <w:sz w:val="24"/>
          <w:szCs w:val="24"/>
          <w:rtl w:val="0"/>
        </w:rPr>
        <w:t xml:space="preserve"> ; Basel, 2004).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Credit-related challenges, particularly weaknesses in credit risk management (CRM), emerge as major contributors to banking difficulties. Given that loans often represent a substantial portion of credit risk, typically surpassing the equity of a bank by 10-15 times </w:t>
      </w:r>
      <w:hyperlink r:id="rId17">
        <w:r w:rsidDel="00000000" w:rsidR="00000000" w:rsidRPr="00000000">
          <w:rPr>
            <w:rFonts w:ascii="Times New Roman" w:cs="Times New Roman" w:eastAsia="Times New Roman" w:hAnsi="Times New Roman"/>
            <w:sz w:val="24"/>
            <w:szCs w:val="24"/>
            <w:vertAlign w:val="baseline"/>
            <w:rtl w:val="0"/>
          </w:rPr>
          <w:t xml:space="preserve">(Kitua, 1996)</w:t>
        </w:r>
      </w:hyperlink>
      <w:r w:rsidDel="00000000" w:rsidR="00000000" w:rsidRPr="00000000">
        <w:rPr>
          <w:rFonts w:ascii="Times New Roman" w:cs="Times New Roman" w:eastAsia="Times New Roman" w:hAnsi="Times New Roman"/>
          <w:sz w:val="24"/>
          <w:szCs w:val="24"/>
          <w:rtl w:val="0"/>
        </w:rPr>
        <w:t xml:space="preserve">, the banking sector becomes vulnerable to challenges when there is even a slight deterioration in loan quality. The origins of poor loan quality can be traced back to the information processing mechanism. </w:t>
      </w:r>
      <w:hyperlink r:id="rId18">
        <w:r w:rsidDel="00000000" w:rsidR="00000000" w:rsidRPr="00000000">
          <w:rPr>
            <w:rFonts w:ascii="Times New Roman" w:cs="Times New Roman" w:eastAsia="Times New Roman" w:hAnsi="Times New Roman"/>
            <w:sz w:val="24"/>
            <w:szCs w:val="24"/>
            <w:vertAlign w:val="baseline"/>
            <w:rtl w:val="0"/>
          </w:rPr>
          <w:t xml:space="preserve">(Brownbridge, 1998)</w:t>
        </w:r>
      </w:hyperlink>
      <w:r w:rsidDel="00000000" w:rsidR="00000000" w:rsidRPr="00000000">
        <w:rPr>
          <w:rFonts w:ascii="Times New Roman" w:cs="Times New Roman" w:eastAsia="Times New Roman" w:hAnsi="Times New Roman"/>
          <w:sz w:val="24"/>
          <w:szCs w:val="24"/>
          <w:rtl w:val="0"/>
        </w:rPr>
        <w:t xml:space="preserve"> noted that these issues are particularly acute in developing countries, often manifesting at the loan application stage </w:t>
      </w:r>
      <w:hyperlink r:id="rId19">
        <w:r w:rsidDel="00000000" w:rsidR="00000000" w:rsidRPr="00000000">
          <w:rPr>
            <w:rFonts w:ascii="Times New Roman" w:cs="Times New Roman" w:eastAsia="Times New Roman" w:hAnsi="Times New Roman"/>
            <w:sz w:val="24"/>
            <w:szCs w:val="24"/>
            <w:vertAlign w:val="baseline"/>
            <w:rtl w:val="0"/>
          </w:rPr>
          <w:t xml:space="preserve">(</w:t>
        </w:r>
      </w:hyperlink>
      <w:hyperlink r:id="rId20">
        <w:r w:rsidDel="00000000" w:rsidR="00000000" w:rsidRPr="00000000">
          <w:rPr>
            <w:rFonts w:ascii="Times New Roman" w:cs="Times New Roman" w:eastAsia="Times New Roman" w:hAnsi="Times New Roman"/>
            <w:sz w:val="24"/>
            <w:szCs w:val="24"/>
            <w:vertAlign w:val="baseline"/>
            <w:rtl w:val="0"/>
          </w:rPr>
          <w:t xml:space="preserve">Liukisila</w:t>
        </w:r>
      </w:hyperlink>
      <w:hyperlink r:id="rId21">
        <w:r w:rsidDel="00000000" w:rsidR="00000000" w:rsidRPr="00000000">
          <w:rPr>
            <w:rFonts w:ascii="Times New Roman" w:cs="Times New Roman" w:eastAsia="Times New Roman" w:hAnsi="Times New Roman"/>
            <w:sz w:val="24"/>
            <w:szCs w:val="24"/>
            <w:vertAlign w:val="baseline"/>
            <w:rtl w:val="0"/>
          </w:rPr>
          <w:t xml:space="preserve">, 1996)</w:t>
        </w:r>
      </w:hyperlink>
      <w:r w:rsidDel="00000000" w:rsidR="00000000" w:rsidRPr="00000000">
        <w:rPr>
          <w:rFonts w:ascii="Times New Roman" w:cs="Times New Roman" w:eastAsia="Times New Roman" w:hAnsi="Times New Roman"/>
          <w:sz w:val="24"/>
          <w:szCs w:val="24"/>
          <w:rtl w:val="0"/>
        </w:rPr>
        <w:t xml:space="preserve"> and escalating during the loan approval, monitoring, and control stage, especially when there are gaps or weaknesses in CRM guidelines related to policy and strategies/procedures for credit processing.</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these challenges, the utilization of predictive modeling techniques emerges as a critical tool in enhancing credit risk management for commercial banks.Predictive modeling offers a data driven approach to risk assessment, allowing for more accurate predictions and proactive management strategies,By leveraging advanced analytics and modeling methodologies, commercial banks can strengthen their ability to identify and mitigate credit risks, ultimately contributing to the overall stability and sustainability of the banking sector in Tanzania.</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Statement of the Problem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Effectively managing credit risk stands as a paramount concern for commercial banks in Tanzania, given its profound implications on financial stability and profitability. The conventional approaches to credit risk management, predominantly reliant on manual processes and simplistic statistical models, exhibit shortcomings in capturing the intricate dynamics inherent in credit portfolios. The inadequacies of traditional credit scoring models necessitate a paradigm shift towards more sophisticated methodologies.This research identifies the critical need to address the limitations of existing credit scoring models through the integration of advanced predictive modeling techniques, specifically leveraging machine learning. The inadequacies of conventional models become evident in their limited capacity to adapt to the complexity of modern financial landscapes. As financial institutions navigate through intricate credit portfolios, the study aims to enhance credit risk management practices by exploring alternative data sources, incorporating economic effects, and prioritizing model explainability.</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Objectives</w:t>
      </w:r>
    </w:p>
    <w:p w:rsidR="00000000" w:rsidDel="00000000" w:rsidP="00000000" w:rsidRDefault="00000000" w:rsidRPr="00000000" w14:paraId="0000002A">
      <w:pPr>
        <w:numPr>
          <w:ilvl w:val="0"/>
          <w:numId w:val="20"/>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Main Objective</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significantly  enhance  credit risk management practices within commercial banks operating in Tanzania through the strategic application of advanced  Predictive modeling techniques.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1"/>
        <w:numPr>
          <w:ilvl w:val="0"/>
          <w:numId w:val="30"/>
        </w:numPr>
        <w:spacing w:after="0" w:afterAutospacing="0" w:before="84"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comprehensive dataset for model development by collecting historical credit data from Commercial banks in Tanzania, including loan performance, borrower information, and relevant financial indicators.</w:t>
      </w:r>
    </w:p>
    <w:p w:rsidR="00000000" w:rsidDel="00000000" w:rsidP="00000000" w:rsidRDefault="00000000" w:rsidRPr="00000000" w14:paraId="00000031">
      <w:pPr>
        <w:widowControl w:val="1"/>
        <w:numPr>
          <w:ilvl w:val="0"/>
          <w:numId w:val="30"/>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predictive models for credit risk management using machine learning techniques.</w:t>
      </w:r>
    </w:p>
    <w:p w:rsidR="00000000" w:rsidDel="00000000" w:rsidP="00000000" w:rsidRDefault="00000000" w:rsidRPr="00000000" w14:paraId="00000032">
      <w:pPr>
        <w:widowControl w:val="1"/>
        <w:numPr>
          <w:ilvl w:val="0"/>
          <w:numId w:val="30"/>
        </w:numPr>
        <w:spacing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predictive models using metrics such as accuracy.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meet the specific research objectives, the study will aim to answer the following questions:</w:t>
      </w:r>
    </w:p>
    <w:p w:rsidR="00000000" w:rsidDel="00000000" w:rsidP="00000000" w:rsidRDefault="00000000" w:rsidRPr="00000000" w14:paraId="00000037">
      <w:pPr>
        <w:numPr>
          <w:ilvl w:val="0"/>
          <w:numId w:val="21"/>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key components and variables needed in constructing a comprehensive dataset for credit risk management of commercial banks ?</w:t>
      </w:r>
    </w:p>
    <w:p w:rsidR="00000000" w:rsidDel="00000000" w:rsidP="00000000" w:rsidRDefault="00000000" w:rsidRPr="00000000" w14:paraId="00000038">
      <w:pPr>
        <w:numPr>
          <w:ilvl w:val="0"/>
          <w:numId w:val="21"/>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machine learning techniques be effectively applied to develop predictive models for credit risk management?</w:t>
      </w:r>
    </w:p>
    <w:p w:rsidR="00000000" w:rsidDel="00000000" w:rsidP="00000000" w:rsidRDefault="00000000" w:rsidRPr="00000000" w14:paraId="00000039">
      <w:pPr>
        <w:numPr>
          <w:ilvl w:val="0"/>
          <w:numId w:val="21"/>
        </w:numPr>
        <w:spacing w:after="16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criteria and metrics are appropriate for assessing the performance of predictive models in the context of credit risk management?</w:t>
      </w:r>
    </w:p>
    <w:p w:rsidR="00000000" w:rsidDel="00000000" w:rsidP="00000000" w:rsidRDefault="00000000" w:rsidRPr="00000000" w14:paraId="0000003A">
      <w:pPr>
        <w:numPr>
          <w:ilvl w:val="0"/>
          <w:numId w:val="18"/>
        </w:numPr>
        <w:spacing w:after="160"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Significance of the Study</w:t>
      </w:r>
      <w:r w:rsidDel="00000000" w:rsidR="00000000" w:rsidRPr="00000000">
        <w:rPr>
          <w:rtl w:val="0"/>
        </w:rPr>
      </w:r>
    </w:p>
    <w:p w:rsidR="00000000" w:rsidDel="00000000" w:rsidP="00000000" w:rsidRDefault="00000000" w:rsidRPr="00000000" w14:paraId="0000003B">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study is multifaceted, addressing critical issues within the Tanzanian banking sector and contributing to the broader field of credit risk management. </w:t>
      </w:r>
    </w:p>
    <w:p w:rsidR="00000000" w:rsidDel="00000000" w:rsidP="00000000" w:rsidRDefault="00000000" w:rsidRPr="00000000" w14:paraId="0000003C">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Advancement of Credit Risk Management Practices: This research holds paramount importance in enhancing credit risk management practices within commercial banks in Tanzania. By leveraging advanced predictive modeling techniques, the study aims to introduce a paradigm shift from traditional approaches, which have exhibited limitations in adapting to the intricate dynamics of credit portfolios. The strategic application of machine learning promises to bring about a significant improvement in the accuracy, efficiency, and adaptability of credit risk assessment.</w:t>
      </w:r>
    </w:p>
    <w:p w:rsidR="00000000" w:rsidDel="00000000" w:rsidP="00000000" w:rsidRDefault="00000000" w:rsidRPr="00000000" w14:paraId="0000003D">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Mitigation and Financial Stability: The utilization of predictive modeling techniques serves as a proactive measure for identifying and mitigating credit risks. By developing robust models, commercial banks can navigate the challenges posed by credit-related difficulties more effectively, ultimately contributing to the overall stability and sustainability of the Tanzanian banking sector.</w:t>
      </w:r>
    </w:p>
    <w:p w:rsidR="00000000" w:rsidDel="00000000" w:rsidP="00000000" w:rsidRDefault="00000000" w:rsidRPr="00000000" w14:paraId="0000003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to Academic Research: The study contributes to the academic field by addressing gaps in existing credit scoring models and proposing innovative solutions. By exploring the integration of machine learning techniques, alternative data sources, and economic factors, the research expands the knowledge base in credit risk management, potentially paving the way for further advancements in the field.</w:t>
      </w:r>
    </w:p>
    <w:p w:rsidR="00000000" w:rsidDel="00000000" w:rsidP="00000000" w:rsidRDefault="00000000" w:rsidRPr="00000000" w14:paraId="0000003F">
      <w:pPr>
        <w:numPr>
          <w:ilvl w:val="0"/>
          <w:numId w:val="29"/>
        </w:numPr>
        <w:spacing w:after="160"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Scope of the Study</w:t>
      </w:r>
      <w:r w:rsidDel="00000000" w:rsidR="00000000" w:rsidRPr="00000000">
        <w:rPr>
          <w:rtl w:val="0"/>
        </w:rPr>
      </w:r>
    </w:p>
    <w:p w:rsidR="00000000" w:rsidDel="00000000" w:rsidP="00000000" w:rsidRDefault="00000000" w:rsidRPr="00000000" w14:paraId="00000040">
      <w:pPr>
        <w:spacing w:after="16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study will focus on advancing credit risk management practices within the Tanzanian banking sector through the strategic application of predictive modeling techniques. The scope of the study includes the following key components: The primary geographical focus is on commercial banks operating within Tanzania. The study will delve into the unique characteristics and challenges present in the Tanzanian banking sector . The study will analyze historical credit data, emphasizing loan performance, borrower information, and relevant financial indicators. The temporal scope will be determined by the availability of data, with an emphasis on capturing patterns and trends relevant to contemporary credit risk management practices.And the predictive modeling techniques that will be used in this study are, Logistic Regression, Decision Trees, Random Forest, Support Vector Machines, and Long short-Term Memory.</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before="84" w:line="36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50">
      <w:pPr>
        <w:pStyle w:val="Heading2"/>
        <w:numPr>
          <w:ilvl w:val="0"/>
          <w:numId w:val="3"/>
        </w:numPr>
        <w:spacing w:after="0" w:before="240" w:line="480" w:lineRule="auto"/>
        <w:ind w:left="720" w:hanging="360"/>
        <w:rPr>
          <w:rFonts w:ascii="Times New Roman" w:cs="Times New Roman" w:eastAsia="Times New Roman" w:hAnsi="Times New Roman"/>
          <w:b w:val="1"/>
          <w:sz w:val="24"/>
          <w:szCs w:val="24"/>
        </w:rPr>
      </w:pPr>
      <w:bookmarkStart w:colFirst="0" w:colLast="0" w:name="_4i7ojhp" w:id="0"/>
      <w:bookmarkEnd w:id="0"/>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1">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research builds on the existing knowledge in a particular field. This chapter reviews various prior literatures on Credit Risk Management of Commercial Banks in Tanzania using Predictive modeling Techniques. Credit risk management plays a pivotal role in the banking sector, as financial institutions face the challenge of assessing the creditworthiness of borrowers to make informed lending decisions.Traditionally,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(Abdou &amp; Pointon, 2011).However,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Finally, relevant and related empirical works will be reviewed and the knowledge gap will be identified.</w:t>
      </w:r>
    </w:p>
    <w:p w:rsidR="00000000" w:rsidDel="00000000" w:rsidP="00000000" w:rsidRDefault="00000000" w:rsidRPr="00000000" w14:paraId="00000052">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5709444</wp:posOffset>
            </wp:positionV>
            <wp:extent cx="5100320" cy="278384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100320" cy="27838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5709444</wp:posOffset>
            </wp:positionV>
            <wp:extent cx="5100320" cy="278384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100320" cy="2783840"/>
                    </a:xfrm>
                    <a:prstGeom prst="rect"/>
                    <a:ln/>
                  </pic:spPr>
                </pic:pic>
              </a:graphicData>
            </a:graphic>
          </wp:anchor>
        </w:drawing>
      </w:r>
    </w:p>
    <w:p w:rsidR="00000000" w:rsidDel="00000000" w:rsidP="00000000" w:rsidRDefault="00000000" w:rsidRPr="00000000" w14:paraId="00000053">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before="84"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100320" cy="278384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100320" cy="2783840"/>
                    </a:xfrm>
                    <a:prstGeom prst="rect"/>
                    <a:ln/>
                  </pic:spPr>
                </pic:pic>
              </a:graphicData>
            </a:graphic>
          </wp:anchor>
        </w:drawing>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before="84"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Taxonomy of approaches and algorithms (Shi et al., 2022)</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numPr>
          <w:ilvl w:val="0"/>
          <w:numId w:val="1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Credit scoring</w:t>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rsidR="00000000" w:rsidDel="00000000" w:rsidP="00000000" w:rsidRDefault="00000000" w:rsidRPr="00000000" w14:paraId="0000006A">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(Vanve &amp; Patil, n.d.).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rsidR="00000000" w:rsidDel="00000000" w:rsidP="00000000" w:rsidRDefault="00000000" w:rsidRPr="00000000" w14:paraId="0000006B">
      <w:pPr>
        <w:numPr>
          <w:ilvl w:val="0"/>
          <w:numId w:val="34"/>
        </w:numPr>
        <w:spacing w:before="84"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Evolution of Credit Risk Management:</w:t>
      </w:r>
    </w:p>
    <w:p w:rsidR="00000000" w:rsidDel="00000000" w:rsidP="00000000" w:rsidRDefault="00000000" w:rsidRPr="00000000" w14:paraId="0000006C">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rsidR="00000000" w:rsidDel="00000000" w:rsidP="00000000" w:rsidRDefault="00000000" w:rsidRPr="00000000" w14:paraId="0000006D">
      <w:pPr>
        <w:numPr>
          <w:ilvl w:val="0"/>
          <w:numId w:val="33"/>
        </w:numPr>
        <w:spacing w:before="84"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Machine Learning in Credit Risk Management:</w:t>
      </w:r>
      <w:r w:rsidDel="00000000" w:rsidR="00000000" w:rsidRPr="00000000">
        <w:rPr>
          <w:rtl w:val="0"/>
        </w:rPr>
      </w:r>
    </w:p>
    <w:p w:rsidR="00000000" w:rsidDel="00000000" w:rsidP="00000000" w:rsidRDefault="00000000" w:rsidRPr="00000000" w14:paraId="0000006E">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(Shi et al., 2022).</w:t>
      </w:r>
    </w:p>
    <w:p w:rsidR="00000000" w:rsidDel="00000000" w:rsidP="00000000" w:rsidRDefault="00000000" w:rsidRPr="00000000" w14:paraId="0000006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3882390" cy="242062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882390" cy="2420620"/>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before="84" w:line="36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The accuracy for Germany credit data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Utilization of Alternative Data Sources</w:t>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(Simão, n.d.).</w:t>
      </w:r>
    </w:p>
    <w:p w:rsidR="00000000" w:rsidDel="00000000" w:rsidP="00000000" w:rsidRDefault="00000000" w:rsidRPr="00000000" w14:paraId="00000087">
      <w:pPr>
        <w:numPr>
          <w:ilvl w:val="0"/>
          <w:numId w:val="35"/>
        </w:numPr>
        <w:spacing w:before="84"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Integration of Economic Effects</w:t>
      </w:r>
    </w:p>
    <w:p w:rsidR="00000000" w:rsidDel="00000000" w:rsidP="00000000" w:rsidRDefault="00000000" w:rsidRPr="00000000" w14:paraId="00000088">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(Simão, n.d.).</w:t>
      </w:r>
    </w:p>
    <w:p w:rsidR="00000000" w:rsidDel="00000000" w:rsidP="00000000" w:rsidRDefault="00000000" w:rsidRPr="00000000" w14:paraId="00000089">
      <w:pPr>
        <w:numPr>
          <w:ilvl w:val="0"/>
          <w:numId w:val="13"/>
        </w:numPr>
        <w:spacing w:before="84"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Explainability and Interpretability</w:t>
      </w:r>
    </w:p>
    <w:p w:rsidR="00000000" w:rsidDel="00000000" w:rsidP="00000000" w:rsidRDefault="00000000" w:rsidRPr="00000000" w14:paraId="0000008A">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2"/>
        <w:widowControl w:val="0"/>
        <w:numPr>
          <w:ilvl w:val="0"/>
          <w:numId w:val="4"/>
        </w:numPr>
        <w:tabs>
          <w:tab w:val="left" w:leader="none" w:pos="941"/>
        </w:tabs>
        <w:spacing w:after="0" w:before="84" w:line="360" w:lineRule="auto"/>
        <w:ind w:left="720" w:hanging="360"/>
        <w:jc w:val="both"/>
        <w:rPr>
          <w:rFonts w:ascii="Times New Roman" w:cs="Times New Roman" w:eastAsia="Times New Roman" w:hAnsi="Times New Roman"/>
          <w:b w:val="1"/>
          <w:sz w:val="24"/>
          <w:szCs w:val="24"/>
          <w:u w:val="none"/>
        </w:rPr>
      </w:pPr>
      <w:bookmarkStart w:colFirst="0" w:colLast="0" w:name="_2hgl238qm7sb" w:id="1"/>
      <w:bookmarkEnd w:id="1"/>
      <w:r w:rsidDel="00000000" w:rsidR="00000000" w:rsidRPr="00000000">
        <w:rPr>
          <w:rFonts w:ascii="Times New Roman" w:cs="Times New Roman" w:eastAsia="Times New Roman" w:hAnsi="Times New Roman"/>
          <w:b w:val="1"/>
          <w:sz w:val="24"/>
          <w:szCs w:val="24"/>
          <w:rtl w:val="0"/>
        </w:rPr>
        <w:t xml:space="preserve">Related work</w:t>
      </w:r>
    </w:p>
    <w:p w:rsidR="00000000" w:rsidDel="00000000" w:rsidP="00000000" w:rsidRDefault="00000000" w:rsidRPr="00000000" w14:paraId="0000008D">
      <w:pPr>
        <w:tabs>
          <w:tab w:val="left" w:leader="none" w:pos="941"/>
        </w:tabs>
        <w:rPr/>
      </w:pPr>
      <w:r w:rsidDel="00000000" w:rsidR="00000000" w:rsidRPr="00000000">
        <w:rPr>
          <w:rtl w:val="0"/>
        </w:rPr>
      </w:r>
    </w:p>
    <w:p w:rsidR="00000000" w:rsidDel="00000000" w:rsidP="00000000" w:rsidRDefault="00000000" w:rsidRPr="00000000" w14:paraId="0000008E">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w:t>
      </w:r>
      <w:hyperlink r:id="rId24">
        <w:r w:rsidDel="00000000" w:rsidR="00000000" w:rsidRPr="00000000">
          <w:rPr>
            <w:rFonts w:ascii="Times New Roman" w:cs="Times New Roman" w:eastAsia="Times New Roman" w:hAnsi="Times New Roman"/>
            <w:sz w:val="24"/>
            <w:szCs w:val="24"/>
            <w:vertAlign w:val="baseline"/>
            <w:rtl w:val="0"/>
          </w:rPr>
          <w:t xml:space="preserve">(Simão, n.d.)</w:t>
        </w:r>
      </w:hyperlink>
      <w:r w:rsidDel="00000000" w:rsidR="00000000" w:rsidRPr="00000000">
        <w:rPr>
          <w:rFonts w:ascii="Times New Roman" w:cs="Times New Roman" w:eastAsia="Times New Roman" w:hAnsi="Times New Roman"/>
          <w:sz w:val="24"/>
          <w:szCs w:val="24"/>
          <w:rtl w:val="0"/>
        </w:rPr>
        <w:t xml:space="preserve"> has been a closely related work that builds up a major contribution for the research I am conducting in the following aspect:-</w:t>
      </w:r>
    </w:p>
    <w:p w:rsidR="00000000" w:rsidDel="00000000" w:rsidP="00000000" w:rsidRDefault="00000000" w:rsidRPr="00000000" w14:paraId="0000008F">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rsidR="00000000" w:rsidDel="00000000" w:rsidP="00000000" w:rsidRDefault="00000000" w:rsidRPr="00000000" w14:paraId="00000090">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rsidR="00000000" w:rsidDel="00000000" w:rsidP="00000000" w:rsidRDefault="00000000" w:rsidRPr="00000000" w14:paraId="00000091">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rsidR="00000000" w:rsidDel="00000000" w:rsidP="00000000" w:rsidRDefault="00000000" w:rsidRPr="00000000" w14:paraId="00000092">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Variables: Common variables found to be important across multiple studies include income, loan amount, loan purpose, employment status, and home ownership. These variables have been consistently used to predict loan default and assess creditworthiness.</w:t>
      </w:r>
    </w:p>
    <w:p w:rsidR="00000000" w:rsidDel="00000000" w:rsidP="00000000" w:rsidRDefault="00000000" w:rsidRPr="00000000" w14:paraId="00000093">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Evaluation: Various performance evaluation criteria have been used to compare different models, such as accuracy, AUC, Brier Score, H-measure, and Kolmogorov-Smirnov statistics. Heterogeneous ensemble classifiers have been found to perform well, outperforming logistic regression in many cases.</w:t>
      </w:r>
    </w:p>
    <w:p w:rsidR="00000000" w:rsidDel="00000000" w:rsidP="00000000" w:rsidRDefault="00000000" w:rsidRPr="00000000" w14:paraId="00000094">
      <w:pPr>
        <w:numPr>
          <w:ilvl w:val="0"/>
          <w:numId w:val="17"/>
        </w:numPr>
        <w:spacing w:before="84"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Research gap</w:t>
      </w:r>
    </w:p>
    <w:p w:rsidR="00000000" w:rsidDel="00000000" w:rsidP="00000000" w:rsidRDefault="00000000" w:rsidRPr="00000000" w14:paraId="00000095">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hyperlink r:id="rId25">
        <w:r w:rsidDel="00000000" w:rsidR="00000000" w:rsidRPr="00000000">
          <w:rPr>
            <w:rFonts w:ascii="Times New Roman" w:cs="Times New Roman" w:eastAsia="Times New Roman" w:hAnsi="Times New Roman"/>
            <w:sz w:val="24"/>
            <w:szCs w:val="24"/>
            <w:vertAlign w:val="baseline"/>
            <w:rtl w:val="0"/>
          </w:rPr>
          <w:t xml:space="preserve">(Teng &amp; Lee, 2019)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6">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availability of sensitive and confidential data from financial institutions poses a challenge, leading to limited access for researchers </w:t>
      </w:r>
      <w:hyperlink r:id="rId26">
        <w:r w:rsidDel="00000000" w:rsidR="00000000" w:rsidRPr="00000000">
          <w:rPr>
            <w:rFonts w:ascii="Times New Roman" w:cs="Times New Roman" w:eastAsia="Times New Roman" w:hAnsi="Times New Roman"/>
            <w:sz w:val="24"/>
            <w:szCs w:val="24"/>
            <w:vertAlign w:val="baseline"/>
            <w:rtl w:val="0"/>
          </w:rPr>
          <w:t xml:space="preserve">(Simão, n.d.)</w:t>
        </w:r>
      </w:hyperlink>
      <w:r w:rsidDel="00000000" w:rsidR="00000000" w:rsidRPr="00000000">
        <w:rPr>
          <w:rFonts w:ascii="Times New Roman" w:cs="Times New Roman" w:eastAsia="Times New Roman" w:hAnsi="Times New Roman"/>
          <w:sz w:val="24"/>
          <w:szCs w:val="24"/>
          <w:rtl w:val="0"/>
        </w:rPr>
        <w:t xml:space="preserve">. Therefore, this research focuses on identifying and utilizing new data sources, such as the vast amount of digital information recorded on social networks and mobile applications. This data, when analyzed from a behavioral perspective, may provide valuable insights for consumer credit risk research.</w:t>
      </w:r>
    </w:p>
    <w:p w:rsidR="00000000" w:rsidDel="00000000" w:rsidP="00000000" w:rsidRDefault="00000000" w:rsidRPr="00000000" w14:paraId="00000097">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rsidR="00000000" w:rsidDel="00000000" w:rsidP="00000000" w:rsidRDefault="00000000" w:rsidRPr="00000000" w14:paraId="00000098">
      <w:pPr>
        <w:spacing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spacing w:after="0" w:before="240" w:line="360" w:lineRule="auto"/>
        <w:ind w:left="2880" w:firstLine="0"/>
        <w:jc w:val="both"/>
        <w:rPr>
          <w:rFonts w:ascii="Times New Roman" w:cs="Times New Roman" w:eastAsia="Times New Roman" w:hAnsi="Times New Roman"/>
          <w:b w:val="1"/>
          <w:smallCaps w:val="1"/>
          <w:sz w:val="24"/>
          <w:szCs w:val="24"/>
        </w:rPr>
      </w:pPr>
      <w:bookmarkStart w:colFirst="0" w:colLast="0" w:name="_htgacod4798j" w:id="2"/>
      <w:bookmarkEnd w:id="2"/>
      <w:r w:rsidDel="00000000" w:rsidR="00000000" w:rsidRPr="00000000">
        <w:rPr>
          <w:rFonts w:ascii="Times New Roman" w:cs="Times New Roman" w:eastAsia="Times New Roman" w:hAnsi="Times New Roman"/>
          <w:b w:val="1"/>
          <w:smallCaps w:val="1"/>
          <w:sz w:val="24"/>
          <w:szCs w:val="24"/>
          <w:rtl w:val="0"/>
        </w:rPr>
        <w:t xml:space="preserve">RESEARCH METHODOLOGY</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0"/>
          <w:numId w:val="1"/>
        </w:numPr>
        <w:spacing w:after="0" w:before="0" w:line="480" w:lineRule="auto"/>
        <w:ind w:left="720" w:hanging="360"/>
        <w:rPr>
          <w:rFonts w:ascii="Times New Roman" w:cs="Times New Roman" w:eastAsia="Times New Roman" w:hAnsi="Times New Roman"/>
          <w:b w:val="1"/>
          <w:sz w:val="24"/>
          <w:szCs w:val="24"/>
          <w:u w:val="none"/>
        </w:rPr>
      </w:pPr>
      <w:bookmarkStart w:colFirst="0" w:colLast="0" w:name="_46r0co2" w:id="3"/>
      <w:bookmarkEnd w:id="3"/>
      <w:r w:rsidDel="00000000" w:rsidR="00000000" w:rsidRPr="00000000">
        <w:rPr>
          <w:rFonts w:ascii="Times New Roman" w:cs="Times New Roman" w:eastAsia="Times New Roman" w:hAnsi="Times New Roman"/>
          <w:b w:val="1"/>
          <w:sz w:val="24"/>
          <w:szCs w:val="24"/>
          <w:rtl w:val="0"/>
        </w:rPr>
        <w:t xml:space="preserve">Research Design</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involves experimentation, wherein specific groups of variables remain consistent, while another group of variables is observed as the primary focus of the investigation.The study involves conducting experiments using various predictive modeling techniques for credit risk of commercial banks in Tanzania. The objective is to apply different Predictive modeling Techniques for Credit Risk. The performance of each trained Predictive modeling algorithm is then evaluated to determine the best predictive model.</w:t>
      </w:r>
    </w:p>
    <w:p w:rsidR="00000000" w:rsidDel="00000000" w:rsidP="00000000" w:rsidRDefault="00000000" w:rsidRPr="00000000" w14:paraId="000000A9">
      <w:pPr>
        <w:pStyle w:val="Heading2"/>
        <w:numPr>
          <w:ilvl w:val="0"/>
          <w:numId w:val="19"/>
        </w:numPr>
        <w:spacing w:after="0" w:before="0" w:line="480" w:lineRule="auto"/>
        <w:ind w:left="720" w:hanging="360"/>
        <w:rPr>
          <w:rFonts w:ascii="Times New Roman" w:cs="Times New Roman" w:eastAsia="Times New Roman" w:hAnsi="Times New Roman"/>
          <w:b w:val="1"/>
          <w:sz w:val="24"/>
          <w:szCs w:val="24"/>
        </w:rPr>
      </w:pPr>
      <w:bookmarkStart w:colFirst="0" w:colLast="0" w:name="_206ipza" w:id="4"/>
      <w:bookmarkEnd w:id="4"/>
      <w:r w:rsidDel="00000000" w:rsidR="00000000" w:rsidRPr="00000000">
        <w:rPr>
          <w:rFonts w:ascii="Times New Roman" w:cs="Times New Roman" w:eastAsia="Times New Roman" w:hAnsi="Times New Roman"/>
          <w:b w:val="1"/>
          <w:sz w:val="24"/>
          <w:szCs w:val="24"/>
          <w:rtl w:val="0"/>
        </w:rPr>
        <w:t xml:space="preserve">Research Approach</w:t>
      </w:r>
      <w:r w:rsidDel="00000000" w:rsidR="00000000" w:rsidRPr="00000000">
        <w:rPr>
          <w:rtl w:val="0"/>
        </w:rPr>
      </w:r>
    </w:p>
    <w:p w:rsidR="00000000" w:rsidDel="00000000" w:rsidP="00000000" w:rsidRDefault="00000000" w:rsidRPr="00000000" w14:paraId="000000AA">
      <w:pPr>
        <w:numPr>
          <w:ilvl w:val="0"/>
          <w:numId w:val="22"/>
        </w:numPr>
        <w:spacing w:line="48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consider a range of variables, including but not limited to: Loan performance metrics,  Borrower demographics, Financial indicators (e.g., liquidity ratios, leverage ratios),  Economic indicators, Alternative data sources.</w:t>
      </w:r>
    </w:p>
    <w:p w:rsidR="00000000" w:rsidDel="00000000" w:rsidP="00000000" w:rsidRDefault="00000000" w:rsidRPr="00000000" w14:paraId="000000AC">
      <w:pPr>
        <w:spacing w:line="480" w:lineRule="auto"/>
        <w:jc w:val="both"/>
        <w:rPr/>
      </w:pPr>
      <w:r w:rsidDel="00000000" w:rsidR="00000000" w:rsidRPr="00000000">
        <w:rPr>
          <w:rFonts w:ascii="Times New Roman" w:cs="Times New Roman" w:eastAsia="Times New Roman" w:hAnsi="Times New Roman"/>
          <w:sz w:val="24"/>
          <w:szCs w:val="24"/>
          <w:rtl w:val="0"/>
        </w:rPr>
        <w:t xml:space="preserve">These variables will be instrumental in constructing a comprehensive dataset for the development of predictive models.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5"/>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Predictive Modeling Techniques</w:t>
      </w: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will employ several machine learning algorithms to develop predictive models for credit risk management. The chosen algorithms include Logistic Regression, Decision Trees, Random Forest, Support Vector Machines, and Long Short-Term Memory. The selection of these techniques is based on their suitability for handling different aspects of credit risk and their relevance to the Tanzanian banking context.</w:t>
      </w:r>
    </w:p>
    <w:p w:rsidR="00000000" w:rsidDel="00000000" w:rsidP="00000000" w:rsidRDefault="00000000" w:rsidRPr="00000000" w14:paraId="000000B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28"/>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Model Development</w:t>
      </w:r>
    </w:p>
    <w:p w:rsidR="00000000" w:rsidDel="00000000" w:rsidP="00000000" w:rsidRDefault="00000000" w:rsidRPr="00000000" w14:paraId="000000B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predictive models will be developed using a two-step process. In the first step, a comprehensive dataset will be prepared by cleaning, preprocessing, and transforming the collected data. In the second step, the dataset will be used to train and validate the selected machine learning algorithms. The models will be fine-tuned to ensure optimal performance in predicting credit risk.</w:t>
      </w:r>
    </w:p>
    <w:p w:rsidR="00000000" w:rsidDel="00000000" w:rsidP="00000000" w:rsidRDefault="00000000" w:rsidRPr="00000000" w14:paraId="000000B4">
      <w:pPr>
        <w:numPr>
          <w:ilvl w:val="0"/>
          <w:numId w:val="11"/>
        </w:numPr>
        <w:spacing w:line="48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Evaluation</w:t>
      </w:r>
    </w:p>
    <w:p w:rsidR="00000000" w:rsidDel="00000000" w:rsidP="00000000" w:rsidRDefault="00000000" w:rsidRPr="00000000" w14:paraId="000000B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developed models will be assessed using relevant metrics such as accuracy, precision, recall, and the area under the ROC curve. The evaluation process will provide insights into the effectiveness of the predictive models in comparison to traditional credit scoring methods.</w:t>
      </w:r>
    </w:p>
    <w:p w:rsidR="00000000" w:rsidDel="00000000" w:rsidP="00000000" w:rsidRDefault="00000000" w:rsidRPr="00000000" w14:paraId="000000B6">
      <w:pPr>
        <w:pStyle w:val="Heading2"/>
        <w:numPr>
          <w:ilvl w:val="0"/>
          <w:numId w:val="7"/>
        </w:numPr>
        <w:spacing w:after="0" w:before="0" w:line="480" w:lineRule="auto"/>
        <w:ind w:left="720" w:hanging="360"/>
        <w:rPr>
          <w:rFonts w:ascii="Times New Roman" w:cs="Times New Roman" w:eastAsia="Times New Roman" w:hAnsi="Times New Roman"/>
          <w:b w:val="1"/>
          <w:sz w:val="24"/>
          <w:szCs w:val="24"/>
        </w:rPr>
      </w:pPr>
      <w:bookmarkStart w:colFirst="0" w:colLast="0" w:name="_2lwamvv" w:id="5"/>
      <w:bookmarkEnd w:id="5"/>
      <w:r w:rsidDel="00000000" w:rsidR="00000000" w:rsidRPr="00000000">
        <w:rPr>
          <w:rFonts w:ascii="Times New Roman" w:cs="Times New Roman" w:eastAsia="Times New Roman" w:hAnsi="Times New Roman"/>
          <w:b w:val="1"/>
          <w:sz w:val="24"/>
          <w:szCs w:val="24"/>
          <w:rtl w:val="0"/>
        </w:rPr>
        <w:t xml:space="preserve">Study Area</w:t>
      </w:r>
    </w:p>
    <w:p w:rsidR="00000000" w:rsidDel="00000000" w:rsidP="00000000" w:rsidRDefault="00000000" w:rsidRPr="00000000" w14:paraId="000000B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is centered on the United Republic of Tanzania, a nation in East Africa known for its diverse economic landscape and a thriving financial sector. The Study will narrow its focus to three commercial banks operating in Tanzania, namely Stanbic Bank Tanzania, CRDB Bank, and NMB Bank. These banks were selected based on their significant market share, operational scale, and diverse credit portfolios. By concentrating on these institutions, the study aims to provide comprehensive insights into credit risk management practices across different banking models.</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numPr>
          <w:ilvl w:val="0"/>
          <w:numId w:val="23"/>
        </w:numPr>
        <w:spacing w:after="0" w:before="0" w:line="480" w:lineRule="auto"/>
        <w:ind w:left="720" w:hanging="360"/>
        <w:rPr>
          <w:rFonts w:ascii="Times New Roman" w:cs="Times New Roman" w:eastAsia="Times New Roman" w:hAnsi="Times New Roman"/>
          <w:b w:val="1"/>
          <w:sz w:val="24"/>
          <w:szCs w:val="24"/>
        </w:rPr>
      </w:pPr>
      <w:bookmarkStart w:colFirst="0" w:colLast="0" w:name="_111kx3o" w:id="6"/>
      <w:bookmarkEnd w:id="6"/>
      <w:r w:rsidDel="00000000" w:rsidR="00000000" w:rsidRPr="00000000">
        <w:rPr>
          <w:rFonts w:ascii="Times New Roman" w:cs="Times New Roman" w:eastAsia="Times New Roman" w:hAnsi="Times New Roman"/>
          <w:b w:val="1"/>
          <w:sz w:val="24"/>
          <w:szCs w:val="24"/>
          <w:rtl w:val="0"/>
        </w:rPr>
        <w:t xml:space="preserve">Tools and Materials </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utilize a variety of materials, including but not limited to: -</w:t>
      </w:r>
    </w:p>
    <w:tbl>
      <w:tblPr>
        <w:tblStyle w:val="Table2"/>
        <w:tblW w:w="87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330"/>
        <w:gridCol w:w="4680"/>
        <w:tblGridChange w:id="0">
          <w:tblGrid>
            <w:gridCol w:w="720"/>
            <w:gridCol w:w="3330"/>
            <w:gridCol w:w="4680"/>
          </w:tblGrid>
        </w:tblGridChange>
      </w:tblGrid>
      <w:tr>
        <w:trPr>
          <w:cantSplit w:val="0"/>
          <w:tblHeader w:val="0"/>
        </w:trPr>
        <w:tc>
          <w:tcPr/>
          <w:p w:rsidR="00000000" w:rsidDel="00000000" w:rsidP="00000000" w:rsidRDefault="00000000" w:rsidRPr="00000000" w14:paraId="000000B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B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w:t>
            </w:r>
          </w:p>
        </w:tc>
        <w:tc>
          <w:tcPr/>
          <w:p w:rsidR="00000000" w:rsidDel="00000000" w:rsidP="00000000" w:rsidRDefault="00000000" w:rsidRPr="00000000" w14:paraId="000000B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description</w:t>
            </w:r>
          </w:p>
        </w:tc>
      </w:tr>
      <w:tr>
        <w:trPr>
          <w:cantSplit w:val="0"/>
          <w:tblHeader w:val="0"/>
        </w:trPr>
        <w:tc>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portable computer</w:t>
            </w:r>
          </w:p>
        </w:tc>
        <w:tc>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computation</w:t>
            </w:r>
          </w:p>
        </w:tc>
      </w:tr>
      <w:tr>
        <w:trPr>
          <w:cantSplit w:val="0"/>
          <w:tblHeader w:val="0"/>
        </w:trPr>
        <w:tc>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tc>
        <w:tc>
          <w:tcPr/>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JetBrains PyCharm for the analysis</w:t>
            </w:r>
          </w:p>
        </w:tc>
      </w:tr>
      <w:tr>
        <w:trPr>
          <w:cantSplit w:val="0"/>
          <w:tblHeader w:val="0"/>
        </w:trPr>
        <w:tc>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modem</w:t>
            </w:r>
          </w:p>
        </w:tc>
        <w:tc>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Internet access to retrieve various literature materials</w:t>
            </w:r>
          </w:p>
        </w:tc>
      </w:tr>
      <w:tr>
        <w:trPr>
          <w:cantSplit w:val="0"/>
          <w:tblHeader w:val="0"/>
        </w:trPr>
        <w:tc>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w:t>
            </w:r>
          </w:p>
        </w:tc>
        <w:tc>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capturing quantitative data</w:t>
            </w:r>
          </w:p>
        </w:tc>
      </w:tr>
      <w:tr>
        <w:trPr>
          <w:cantSplit w:val="0"/>
          <w:tblHeader w:val="0"/>
        </w:trPr>
        <w:tc>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w:t>
            </w:r>
          </w:p>
        </w:tc>
        <w:tc>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 3.10.4, JavaScript ECMAScript 2023</w:t>
            </w:r>
          </w:p>
        </w:tc>
      </w:tr>
      <w:tr>
        <w:trPr>
          <w:cantSplit w:val="0"/>
          <w:tblHeader w:val="0"/>
        </w:trPr>
        <w:tc>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formats</w:t>
            </w:r>
          </w:p>
        </w:tc>
        <w:tc>
          <w:tcPr/>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Object Notation (JSON), Comma Separated Value (CSV), Excel (xls, xlsx)</w:t>
            </w:r>
          </w:p>
        </w:tc>
      </w:tr>
      <w:tr>
        <w:trPr>
          <w:cantSplit w:val="0"/>
          <w:tblHeader w:val="0"/>
        </w:trPr>
        <w:tc>
          <w:tcPr/>
          <w:p w:rsidR="00000000" w:rsidDel="00000000" w:rsidP="00000000" w:rsidRDefault="00000000" w:rsidRPr="00000000" w14:paraId="000000D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Environment</w:t>
            </w:r>
          </w:p>
        </w:tc>
        <w:tc>
          <w:tcPr/>
          <w:p w:rsidR="00000000" w:rsidDel="00000000" w:rsidP="00000000" w:rsidRDefault="00000000" w:rsidRPr="00000000" w14:paraId="000000D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Pipenv</w:t>
            </w:r>
          </w:p>
        </w:tc>
      </w:tr>
      <w:tr>
        <w:trPr>
          <w:cantSplit w:val="0"/>
          <w:tblHeader w:val="0"/>
        </w:trPr>
        <w:tc>
          <w:tcPr/>
          <w:p w:rsidR="00000000" w:rsidDel="00000000" w:rsidP="00000000" w:rsidRDefault="00000000" w:rsidRPr="00000000" w14:paraId="000000D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Frameworks</w:t>
            </w:r>
          </w:p>
        </w:tc>
        <w:tc>
          <w:tcPr/>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3.1.6, StreamLit</w:t>
            </w:r>
          </w:p>
        </w:tc>
      </w:tr>
      <w:tr>
        <w:trPr>
          <w:cantSplit w:val="0"/>
          <w:tblHeader w:val="0"/>
        </w:trPr>
        <w:tc>
          <w:tcPr/>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w:t>
            </w:r>
          </w:p>
        </w:tc>
        <w:tc>
          <w:tcPr/>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r>
      <w:tr>
        <w:trPr>
          <w:cantSplit w:val="0"/>
          <w:trHeight w:val="641.953125" w:hRule="atLeast"/>
          <w:tblHeader w:val="0"/>
        </w:trPr>
        <w:tc>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w:t>
            </w:r>
          </w:p>
        </w:tc>
        <w:tc>
          <w:tcPr/>
          <w:p w:rsidR="00000000" w:rsidDel="00000000" w:rsidP="00000000" w:rsidRDefault="00000000" w:rsidRPr="00000000" w14:paraId="000000D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Pandas, JupyterLab, Scikit-learn, Gensim, Keras matplotlib</w:t>
            </w:r>
          </w:p>
        </w:tc>
      </w:tr>
    </w:tbl>
    <w:p w:rsidR="00000000" w:rsidDel="00000000" w:rsidP="00000000" w:rsidRDefault="00000000" w:rsidRPr="00000000" w14:paraId="000000DE">
      <w:pPr>
        <w:spacing w:after="160" w:line="240" w:lineRule="auto"/>
        <w:rPr>
          <w:rFonts w:ascii="Times New Roman" w:cs="Times New Roman" w:eastAsia="Times New Roman" w:hAnsi="Times New Roman"/>
          <w:sz w:val="24"/>
          <w:szCs w:val="24"/>
        </w:rPr>
      </w:pPr>
      <w:bookmarkStart w:colFirst="0" w:colLast="0" w:name="_njd4fvwg33br" w:id="7"/>
      <w:bookmarkEnd w:id="7"/>
      <w:r w:rsidDel="00000000" w:rsidR="00000000" w:rsidRPr="00000000">
        <w:rPr>
          <w:rtl w:val="0"/>
        </w:rPr>
      </w:r>
    </w:p>
    <w:p w:rsidR="00000000" w:rsidDel="00000000" w:rsidP="00000000" w:rsidRDefault="00000000" w:rsidRPr="00000000" w14:paraId="000000DF">
      <w:pPr>
        <w:spacing w:after="160" w:line="240" w:lineRule="auto"/>
        <w:rPr>
          <w:rFonts w:ascii="Times New Roman" w:cs="Times New Roman" w:eastAsia="Times New Roman" w:hAnsi="Times New Roman"/>
          <w:sz w:val="24"/>
          <w:szCs w:val="24"/>
        </w:rPr>
      </w:pPr>
      <w:bookmarkStart w:colFirst="0" w:colLast="0" w:name="_3l18frh" w:id="8"/>
      <w:bookmarkEnd w:id="8"/>
      <w:r w:rsidDel="00000000" w:rsidR="00000000" w:rsidRPr="00000000">
        <w:rPr>
          <w:rFonts w:ascii="Times New Roman" w:cs="Times New Roman" w:eastAsia="Times New Roman" w:hAnsi="Times New Roman"/>
          <w:sz w:val="24"/>
          <w:szCs w:val="24"/>
          <w:rtl w:val="0"/>
        </w:rPr>
        <w:t xml:space="preserve">Table 3.1 tools and materials to be used in this study</w:t>
      </w:r>
    </w:p>
    <w:p w:rsidR="00000000" w:rsidDel="00000000" w:rsidP="00000000" w:rsidRDefault="00000000" w:rsidRPr="00000000" w14:paraId="000000E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2"/>
        <w:numPr>
          <w:ilvl w:val="0"/>
          <w:numId w:val="9"/>
        </w:numPr>
        <w:spacing w:after="0" w:before="0" w:line="480" w:lineRule="auto"/>
        <w:ind w:left="1440" w:hanging="360"/>
        <w:rPr>
          <w:rFonts w:ascii="Times New Roman" w:cs="Times New Roman" w:eastAsia="Times New Roman" w:hAnsi="Times New Roman"/>
          <w:b w:val="1"/>
          <w:sz w:val="24"/>
          <w:szCs w:val="24"/>
          <w:u w:val="none"/>
        </w:rPr>
      </w:pPr>
      <w:bookmarkStart w:colFirst="0" w:colLast="0" w:name="_3ygebqi" w:id="9"/>
      <w:bookmarkEnd w:id="9"/>
      <w:r w:rsidDel="00000000" w:rsidR="00000000" w:rsidRPr="00000000">
        <w:rPr>
          <w:rFonts w:ascii="Times New Roman" w:cs="Times New Roman" w:eastAsia="Times New Roman" w:hAnsi="Times New Roman"/>
          <w:b w:val="1"/>
          <w:sz w:val="24"/>
          <w:szCs w:val="24"/>
          <w:rtl w:val="0"/>
        </w:rPr>
        <w:t xml:space="preserve">Data Collection</w:t>
      </w:r>
    </w:p>
    <w:p w:rsidR="00000000" w:rsidDel="00000000" w:rsidP="00000000" w:rsidRDefault="00000000" w:rsidRPr="00000000" w14:paraId="000000E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study will be gathered from the three commercial banks in Tanzania, namely Stanbic Bank Tanzania, CRDB Bank, and NMB Bank.The selection criteria are based on the market share,operational scale, and diversity of credit portfolios of the three selected banks.This ensure that the dataset encompasses a broad spectrum of banking activities, contributing to a thorough analysis of credit risk management. The data spans from 2020 to 2023.</w:t>
      </w:r>
    </w:p>
    <w:p w:rsidR="00000000" w:rsidDel="00000000" w:rsidP="00000000" w:rsidRDefault="00000000" w:rsidRPr="00000000" w14:paraId="000000E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will employ a combination of primary and secondary data collection methods. Historical credit data will be obtained, including information on loan performance, borrower characteristics, and relevant financial indicators.</w:t>
      </w:r>
    </w:p>
    <w:p w:rsidR="00000000" w:rsidDel="00000000" w:rsidP="00000000" w:rsidRDefault="00000000" w:rsidRPr="00000000" w14:paraId="000000E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Secondary data will be acquired from various sources such as financial reports, credit histories, industry publications, and academic journals will be consulted to gather supplementary information. And the source will be from the official records of Stanbic Bank Tanzania, CRDB Bank, and NMB Bank. These documents will serve as the primary source for evaluating credit risk management strategies and outcomes.</w:t>
      </w:r>
    </w:p>
    <w:p w:rsidR="00000000" w:rsidDel="00000000" w:rsidP="00000000" w:rsidRDefault="00000000" w:rsidRPr="00000000" w14:paraId="000000E5">
      <w:pPr>
        <w:pStyle w:val="Heading3"/>
        <w:numPr>
          <w:ilvl w:val="0"/>
          <w:numId w:val="27"/>
        </w:numPr>
        <w:spacing w:after="120" w:before="160" w:line="259" w:lineRule="auto"/>
        <w:ind w:left="1440" w:hanging="360"/>
        <w:rPr>
          <w:rFonts w:ascii="Times New Roman" w:cs="Times New Roman" w:eastAsia="Times New Roman" w:hAnsi="Times New Roman"/>
          <w:b w:val="1"/>
          <w:color w:val="000000"/>
          <w:sz w:val="24"/>
          <w:szCs w:val="24"/>
          <w:u w:val="none"/>
        </w:rPr>
      </w:pPr>
      <w:bookmarkStart w:colFirst="0" w:colLast="0" w:name="_2dlolyb" w:id="10"/>
      <w:bookmarkEnd w:id="10"/>
      <w:r w:rsidDel="00000000" w:rsidR="00000000" w:rsidRPr="00000000">
        <w:rPr>
          <w:rFonts w:ascii="Times New Roman" w:cs="Times New Roman" w:eastAsia="Times New Roman" w:hAnsi="Times New Roman"/>
          <w:b w:val="1"/>
          <w:color w:val="000000"/>
          <w:sz w:val="24"/>
          <w:szCs w:val="24"/>
          <w:rtl w:val="0"/>
        </w:rPr>
        <w:t xml:space="preserve">Document Review</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secondary data collection, this study will review multiple documents from diverse sources including research papers, academic articles, journals, open-data platforms, and relevant websites. The purpose of this document review is to gain insights into different techniques used for analyzing and predicting credit risk for commercial banks. It aims to gather information about the approaches adopted by other researchers, their methodologies, and the findings they obtained. Additionally, the review will aid in identifying existing Predictive modeling Techniques and selecting suitable models that can be customized to align with the specific context of this research.</w:t>
      </w:r>
    </w:p>
    <w:p w:rsidR="00000000" w:rsidDel="00000000" w:rsidP="00000000" w:rsidRDefault="00000000" w:rsidRPr="00000000" w14:paraId="000000E7">
      <w:pPr>
        <w:pStyle w:val="Heading2"/>
        <w:numPr>
          <w:ilvl w:val="0"/>
          <w:numId w:val="24"/>
        </w:numPr>
        <w:spacing w:after="0" w:before="0" w:line="480" w:lineRule="auto"/>
        <w:ind w:left="1440" w:hanging="360"/>
        <w:rPr>
          <w:rFonts w:ascii="Times New Roman" w:cs="Times New Roman" w:eastAsia="Times New Roman" w:hAnsi="Times New Roman"/>
          <w:b w:val="1"/>
          <w:sz w:val="24"/>
          <w:szCs w:val="24"/>
          <w:u w:val="none"/>
        </w:rPr>
      </w:pPr>
      <w:bookmarkStart w:colFirst="0" w:colLast="0" w:name="_1rvwp1q" w:id="11"/>
      <w:bookmarkEnd w:id="11"/>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E8">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the application of Exploratory Data Analysis (EDA) will be employed to conduct initial investigations on the collected data. The purpose is to uncover patterns, derive meaningful insights, identify anomalies, gain a comprehensive understanding of the data, and provide summary statistics and graphical representations. The initial data analysis will specifically focus on the datasets containing customer information from Commercial banks in Tanzania during the period of 2020 to 2023. To facilitate this process, a Python virtual environment will be established. Python scripts will be developed to handle the large JSON files associated with each month, enabling them to be split into smaller chunks. These chunks will be saved in the Comma Separated Value (CSV) format, ensuring ease of use and effective data manipulation.</w:t>
      </w:r>
    </w:p>
    <w:p w:rsidR="00000000" w:rsidDel="00000000" w:rsidP="00000000" w:rsidRDefault="00000000" w:rsidRPr="00000000" w14:paraId="000000E9">
      <w:pPr>
        <w:pStyle w:val="Heading2"/>
        <w:numPr>
          <w:ilvl w:val="0"/>
          <w:numId w:val="10"/>
        </w:numPr>
        <w:spacing w:after="0" w:before="0" w:line="480" w:lineRule="auto"/>
        <w:ind w:left="2160" w:hanging="360"/>
        <w:jc w:val="both"/>
        <w:rPr>
          <w:rFonts w:ascii="Times New Roman" w:cs="Times New Roman" w:eastAsia="Times New Roman" w:hAnsi="Times New Roman"/>
          <w:b w:val="1"/>
          <w:sz w:val="24"/>
          <w:szCs w:val="24"/>
          <w:u w:val="none"/>
        </w:rPr>
      </w:pPr>
      <w:bookmarkStart w:colFirst="0" w:colLast="0" w:name="_3q5sasy" w:id="12"/>
      <w:bookmarkEnd w:id="12"/>
      <w:r w:rsidDel="00000000" w:rsidR="00000000" w:rsidRPr="00000000">
        <w:rPr>
          <w:rFonts w:ascii="Times New Roman" w:cs="Times New Roman" w:eastAsia="Times New Roman" w:hAnsi="Times New Roman"/>
          <w:b w:val="1"/>
          <w:sz w:val="24"/>
          <w:szCs w:val="24"/>
          <w:rtl w:val="0"/>
        </w:rPr>
        <w:t xml:space="preserve">Ethical Consideration</w:t>
      </w:r>
      <w:r w:rsidDel="00000000" w:rsidR="00000000" w:rsidRPr="00000000">
        <w:rPr>
          <w:rtl w:val="0"/>
        </w:rPr>
      </w:r>
    </w:p>
    <w:p w:rsidR="00000000" w:rsidDel="00000000" w:rsidP="00000000" w:rsidRDefault="00000000" w:rsidRPr="00000000" w14:paraId="000000E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ethical considerations associated with this study, research clearance letters will be obtained from UDSM and also the research clearance letters will be provided to three commercial banks in Tanzania, which will be involved in data collection: Stanbic bank Tanzania, CRDB, and NMB Banks . The potential respondents will be informed about the benefits of the study and will be requested to participate voluntarily throughout the data collection process. They will be fully informed and assured that this research is a necessary component of academic requirements and will be utilized to develop a model for predicting Credit risk of Commercial Banks in Tanzania.</w:t>
      </w:r>
    </w:p>
    <w:p w:rsidR="00000000" w:rsidDel="00000000" w:rsidP="00000000" w:rsidRDefault="00000000" w:rsidRPr="00000000" w14:paraId="000000EB">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tabs>
          <w:tab w:val="left" w:leader="none" w:pos="940"/>
        </w:tabs>
        <w:rPr/>
      </w:pPr>
      <w:r w:rsidDel="00000000" w:rsidR="00000000" w:rsidRPr="00000000">
        <w:rPr>
          <w:rtl w:val="0"/>
        </w:rPr>
      </w:r>
    </w:p>
    <w:p w:rsidR="00000000" w:rsidDel="00000000" w:rsidP="00000000" w:rsidRDefault="00000000" w:rsidRPr="00000000" w14:paraId="000000FE">
      <w:pPr>
        <w:tabs>
          <w:tab w:val="left" w:leader="none" w:pos="940"/>
        </w:tabs>
        <w:rPr/>
      </w:pPr>
      <w:r w:rsidDel="00000000" w:rsidR="00000000" w:rsidRPr="00000000">
        <w:rPr>
          <w:rtl w:val="0"/>
        </w:rPr>
      </w:r>
    </w:p>
    <w:p w:rsidR="00000000" w:rsidDel="00000000" w:rsidP="00000000" w:rsidRDefault="00000000" w:rsidRPr="00000000" w14:paraId="000000FF">
      <w:pPr>
        <w:tabs>
          <w:tab w:val="left" w:leader="none" w:pos="940"/>
        </w:tabs>
        <w:rPr/>
      </w:pPr>
      <w:r w:rsidDel="00000000" w:rsidR="00000000" w:rsidRPr="00000000">
        <w:rPr>
          <w:rtl w:val="0"/>
        </w:rPr>
      </w:r>
    </w:p>
    <w:p w:rsidR="00000000" w:rsidDel="00000000" w:rsidP="00000000" w:rsidRDefault="00000000" w:rsidRPr="00000000" w14:paraId="00000100">
      <w:pPr>
        <w:pStyle w:val="Heading2"/>
        <w:widowControl w:val="0"/>
        <w:tabs>
          <w:tab w:val="left" w:leader="none" w:pos="940"/>
        </w:tabs>
        <w:spacing w:after="0" w:before="84" w:line="360" w:lineRule="auto"/>
        <w:ind w:left="3600" w:firstLine="0"/>
        <w:jc w:val="both"/>
        <w:rPr>
          <w:rFonts w:ascii="Times New Roman" w:cs="Times New Roman" w:eastAsia="Times New Roman" w:hAnsi="Times New Roman"/>
          <w:b w:val="1"/>
          <w:sz w:val="24"/>
          <w:szCs w:val="24"/>
        </w:rPr>
      </w:pPr>
      <w:bookmarkStart w:colFirst="0" w:colLast="0" w:name="_x1th6ikh6jxh" w:id="13"/>
      <w:bookmarkEnd w:id="13"/>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1">
      <w:pPr>
        <w:tabs>
          <w:tab w:val="left" w:leader="none" w:pos="940"/>
        </w:tabs>
        <w:rPr/>
      </w:pPr>
      <w:r w:rsidDel="00000000" w:rsidR="00000000" w:rsidRPr="00000000">
        <w:rPr>
          <w:rtl w:val="0"/>
        </w:rPr>
      </w:r>
    </w:p>
    <w:p w:rsidR="00000000" w:rsidDel="00000000" w:rsidP="00000000" w:rsidRDefault="00000000" w:rsidRPr="00000000" w14:paraId="00000102">
      <w:pPr>
        <w:tabs>
          <w:tab w:val="left" w:leader="none" w:pos="9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sz w:val="24"/>
            <w:szCs w:val="24"/>
            <w:vertAlign w:val="baseline"/>
            <w:rtl w:val="0"/>
          </w:rPr>
          <w:t xml:space="preserve">Barth, J. R., Caprio, G., &amp; Levine, R. (n.d.). </w:t>
        </w:r>
      </w:hyperlink>
      <w:hyperlink r:id="rId28">
        <w:r w:rsidDel="00000000" w:rsidR="00000000" w:rsidRPr="00000000">
          <w:rPr>
            <w:rFonts w:ascii="Times New Roman" w:cs="Times New Roman" w:eastAsia="Times New Roman" w:hAnsi="Times New Roman"/>
            <w:i w:val="1"/>
            <w:sz w:val="24"/>
            <w:szCs w:val="24"/>
            <w:vertAlign w:val="baseline"/>
            <w:rtl w:val="0"/>
          </w:rPr>
          <w:t xml:space="preserve">Bank Regulation and Supervision: What Works Best?</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sz w:val="24"/>
            <w:szCs w:val="24"/>
            <w:vertAlign w:val="baseline"/>
            <w:rtl w:val="0"/>
          </w:rPr>
          <w:t xml:space="preserve">Brownbridge, M. (1998). Financial Distress in Local Banks in Kenya, Nigeria, Uganda and Zambia: Causes and Implications for Regulatory Policy. </w:t>
        </w:r>
      </w:hyperlink>
      <w:hyperlink r:id="rId30">
        <w:r w:rsidDel="00000000" w:rsidR="00000000" w:rsidRPr="00000000">
          <w:rPr>
            <w:rFonts w:ascii="Times New Roman" w:cs="Times New Roman" w:eastAsia="Times New Roman" w:hAnsi="Times New Roman"/>
            <w:i w:val="1"/>
            <w:sz w:val="24"/>
            <w:szCs w:val="24"/>
            <w:vertAlign w:val="baseline"/>
            <w:rtl w:val="0"/>
          </w:rPr>
          <w:t xml:space="preserve">Development Policy Review</w:t>
        </w:r>
      </w:hyperlink>
      <w:hyperlink r:id="rId31">
        <w:r w:rsidDel="00000000" w:rsidR="00000000" w:rsidRPr="00000000">
          <w:rPr>
            <w:rFonts w:ascii="Times New Roman" w:cs="Times New Roman" w:eastAsia="Times New Roman" w:hAnsi="Times New Roman"/>
            <w:sz w:val="24"/>
            <w:szCs w:val="24"/>
            <w:vertAlign w:val="baseline"/>
            <w:rtl w:val="0"/>
          </w:rPr>
          <w:t xml:space="preserve">, </w:t>
        </w:r>
      </w:hyperlink>
      <w:hyperlink r:id="rId32">
        <w:r w:rsidDel="00000000" w:rsidR="00000000" w:rsidRPr="00000000">
          <w:rPr>
            <w:rFonts w:ascii="Times New Roman" w:cs="Times New Roman" w:eastAsia="Times New Roman" w:hAnsi="Times New Roman"/>
            <w:i w:val="1"/>
            <w:sz w:val="24"/>
            <w:szCs w:val="24"/>
            <w:vertAlign w:val="baseline"/>
            <w:rtl w:val="0"/>
          </w:rPr>
          <w:t xml:space="preserve">16</w:t>
        </w:r>
      </w:hyperlink>
      <w:hyperlink r:id="rId33">
        <w:r w:rsidDel="00000000" w:rsidR="00000000" w:rsidRPr="00000000">
          <w:rPr>
            <w:rFonts w:ascii="Times New Roman" w:cs="Times New Roman" w:eastAsia="Times New Roman" w:hAnsi="Times New Roman"/>
            <w:sz w:val="24"/>
            <w:szCs w:val="24"/>
            <w:vertAlign w:val="baseline"/>
            <w:rtl w:val="0"/>
          </w:rPr>
          <w:t xml:space="preserve">(2), 173–188. https://doi.org/10.1111/1467-7679.00057</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sz w:val="24"/>
            <w:szCs w:val="24"/>
            <w:vertAlign w:val="baseline"/>
            <w:rtl w:val="0"/>
          </w:rPr>
          <w:t xml:space="preserve">BrownBridge, M., &amp; Harvey, C. (1998). </w:t>
        </w:r>
      </w:hyperlink>
      <w:hyperlink r:id="rId35">
        <w:r w:rsidDel="00000000" w:rsidR="00000000" w:rsidRPr="00000000">
          <w:rPr>
            <w:rFonts w:ascii="Times New Roman" w:cs="Times New Roman" w:eastAsia="Times New Roman" w:hAnsi="Times New Roman"/>
            <w:i w:val="1"/>
            <w:sz w:val="24"/>
            <w:szCs w:val="24"/>
            <w:vertAlign w:val="baseline"/>
            <w:rtl w:val="0"/>
          </w:rPr>
          <w:t xml:space="preserve">Banking in Africa, James Currey</w:t>
        </w:r>
      </w:hyperlink>
      <w:hyperlink r:id="rId36">
        <w:r w:rsidDel="00000000" w:rsidR="00000000" w:rsidRPr="00000000">
          <w:rPr>
            <w:rFonts w:ascii="Times New Roman" w:cs="Times New Roman" w:eastAsia="Times New Roman" w:hAnsi="Times New Roman"/>
            <w:sz w:val="24"/>
            <w:szCs w:val="24"/>
            <w:vertAlign w:val="baseline"/>
            <w:rtl w:val="0"/>
          </w:rPr>
          <w:t xml:space="preserve">. Oxford.</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sz w:val="24"/>
            <w:szCs w:val="24"/>
            <w:vertAlign w:val="baseline"/>
            <w:rtl w:val="0"/>
          </w:rPr>
          <w:t xml:space="preserve">Chijoriga, M. M. (1997). </w:t>
        </w:r>
      </w:hyperlink>
      <w:hyperlink r:id="rId38">
        <w:r w:rsidDel="00000000" w:rsidR="00000000" w:rsidRPr="00000000">
          <w:rPr>
            <w:rFonts w:ascii="Times New Roman" w:cs="Times New Roman" w:eastAsia="Times New Roman" w:hAnsi="Times New Roman"/>
            <w:i w:val="1"/>
            <w:sz w:val="24"/>
            <w:szCs w:val="24"/>
            <w:vertAlign w:val="baseline"/>
            <w:rtl w:val="0"/>
          </w:rPr>
          <w:t xml:space="preserve">An application of credit scoring and financial distress prediction models to commercial bank lending: The case of Tanzania</w:t>
        </w:r>
      </w:hyperlink>
      <w:hyperlink r:id="rId39">
        <w:r w:rsidDel="00000000" w:rsidR="00000000" w:rsidRPr="00000000">
          <w:rPr>
            <w:rFonts w:ascii="Times New Roman" w:cs="Times New Roman" w:eastAsia="Times New Roman" w:hAnsi="Times New Roman"/>
            <w:sz w:val="24"/>
            <w:szCs w:val="24"/>
            <w:vertAlign w:val="baseline"/>
            <w:rtl w:val="0"/>
          </w:rPr>
          <w:t xml:space="preserve">. na.</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z w:val="24"/>
            <w:szCs w:val="24"/>
            <w:vertAlign w:val="baseline"/>
            <w:rtl w:val="0"/>
          </w:rPr>
          <w:t xml:space="preserve">Greuning, H. van, Greuning, H. van, &amp; Brajovic Bratanovic, S. (2003). </w:t>
        </w:r>
      </w:hyperlink>
      <w:hyperlink r:id="rId41">
        <w:r w:rsidDel="00000000" w:rsidR="00000000" w:rsidRPr="00000000">
          <w:rPr>
            <w:rFonts w:ascii="Times New Roman" w:cs="Times New Roman" w:eastAsia="Times New Roman" w:hAnsi="Times New Roman"/>
            <w:i w:val="1"/>
            <w:sz w:val="24"/>
            <w:szCs w:val="24"/>
            <w:vertAlign w:val="baseline"/>
            <w:rtl w:val="0"/>
          </w:rPr>
          <w:t xml:space="preserve">Analyzing and managing banking risk: A framework for assessing corporate governance and financial risk</w:t>
        </w:r>
      </w:hyperlink>
      <w:hyperlink r:id="rId42">
        <w:r w:rsidDel="00000000" w:rsidR="00000000" w:rsidRPr="00000000">
          <w:rPr>
            <w:rFonts w:ascii="Times New Roman" w:cs="Times New Roman" w:eastAsia="Times New Roman" w:hAnsi="Times New Roman"/>
            <w:sz w:val="24"/>
            <w:szCs w:val="24"/>
            <w:vertAlign w:val="baseline"/>
            <w:rtl w:val="0"/>
          </w:rPr>
          <w:t xml:space="preserve"> (2nd ed). World Bank.</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sz w:val="24"/>
            <w:szCs w:val="24"/>
            <w:vertAlign w:val="baseline"/>
            <w:rtl w:val="0"/>
          </w:rPr>
          <w:t xml:space="preserve">Kimei, C. S. (1998). Sound banking management and macroeconomic stability in Africa. </w:t>
        </w:r>
      </w:hyperlink>
      <w:hyperlink r:id="rId44">
        <w:r w:rsidDel="00000000" w:rsidR="00000000" w:rsidRPr="00000000">
          <w:rPr>
            <w:rFonts w:ascii="Times New Roman" w:cs="Times New Roman" w:eastAsia="Times New Roman" w:hAnsi="Times New Roman"/>
            <w:i w:val="1"/>
            <w:sz w:val="24"/>
            <w:szCs w:val="24"/>
            <w:vertAlign w:val="baseline"/>
            <w:rtl w:val="0"/>
          </w:rPr>
          <w:t xml:space="preserve">Seminar for Chief Executives on Monetary Policy Stance in Tanzania</w:t>
        </w:r>
      </w:hyperlink>
      <w:hyperlink r:id="rId45">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z w:val="24"/>
            <w:szCs w:val="24"/>
            <w:vertAlign w:val="baseline"/>
            <w:rtl w:val="0"/>
          </w:rPr>
          <w:t xml:space="preserve">Kitua, G. D. Y. (1996). </w:t>
        </w:r>
      </w:hyperlink>
      <w:hyperlink r:id="rId47">
        <w:r w:rsidDel="00000000" w:rsidR="00000000" w:rsidRPr="00000000">
          <w:rPr>
            <w:rFonts w:ascii="Times New Roman" w:cs="Times New Roman" w:eastAsia="Times New Roman" w:hAnsi="Times New Roman"/>
            <w:i w:val="1"/>
            <w:sz w:val="24"/>
            <w:szCs w:val="24"/>
            <w:vertAlign w:val="baseline"/>
            <w:rtl w:val="0"/>
          </w:rPr>
          <w:t xml:space="preserve">Application of multiple discriminant analysis in developing a commercial Banks loan classification model and assessment of significance of contributing variables: A case of National Bank of Commerce.</w:t>
        </w:r>
      </w:hyperlink>
      <w:hyperlink r:id="rId48">
        <w:r w:rsidDel="00000000" w:rsidR="00000000" w:rsidRPr="00000000">
          <w:rPr>
            <w:rFonts w:ascii="Times New Roman" w:cs="Times New Roman" w:eastAsia="Times New Roman" w:hAnsi="Times New Roman"/>
            <w:sz w:val="24"/>
            <w:szCs w:val="24"/>
            <w:vertAlign w:val="baseline"/>
            <w:rtl w:val="0"/>
          </w:rPr>
          <w:t xml:space="preserve"> University of Dar es Salaam.</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z w:val="24"/>
            <w:szCs w:val="24"/>
            <w:vertAlign w:val="baseline"/>
            <w:rtl w:val="0"/>
          </w:rPr>
          <w:t xml:space="preserve">Liukisila</w:t>
        </w:r>
      </w:hyperlink>
      <w:hyperlink r:id="rId50">
        <w:r w:rsidDel="00000000" w:rsidR="00000000" w:rsidRPr="00000000">
          <w:rPr>
            <w:rFonts w:ascii="Times New Roman" w:cs="Times New Roman" w:eastAsia="Times New Roman" w:hAnsi="Times New Roman"/>
            <w:sz w:val="24"/>
            <w:szCs w:val="24"/>
            <w:vertAlign w:val="baseline"/>
            <w:rtl w:val="0"/>
          </w:rPr>
          <w:t xml:space="preserve">, C. (1996). IMF Survey, Healthy Banks are Vital for a Strong Economy, Finance and Development. </w:t>
        </w:r>
      </w:hyperlink>
      <w:hyperlink r:id="rId51">
        <w:r w:rsidDel="00000000" w:rsidR="00000000" w:rsidRPr="00000000">
          <w:rPr>
            <w:rFonts w:ascii="Times New Roman" w:cs="Times New Roman" w:eastAsia="Times New Roman" w:hAnsi="Times New Roman"/>
            <w:i w:val="1"/>
            <w:sz w:val="24"/>
            <w:szCs w:val="24"/>
            <w:vertAlign w:val="baseline"/>
            <w:rtl w:val="0"/>
          </w:rPr>
          <w:t xml:space="preserve">Washington, DC</w:t>
        </w:r>
      </w:hyperlink>
      <w:hyperlink r:id="rId52">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sz w:val="24"/>
            <w:szCs w:val="24"/>
            <w:vertAlign w:val="baseline"/>
            <w:rtl w:val="0"/>
          </w:rPr>
          <w:t xml:space="preserve">Santomero, A. M., &amp; Babbel, D. F. (1997). Financial Risk Management by Insurers: An Analysis of the Process. </w:t>
        </w:r>
      </w:hyperlink>
      <w:hyperlink r:id="rId54">
        <w:r w:rsidDel="00000000" w:rsidR="00000000" w:rsidRPr="00000000">
          <w:rPr>
            <w:rFonts w:ascii="Times New Roman" w:cs="Times New Roman" w:eastAsia="Times New Roman" w:hAnsi="Times New Roman"/>
            <w:i w:val="1"/>
            <w:sz w:val="24"/>
            <w:szCs w:val="24"/>
            <w:vertAlign w:val="baseline"/>
            <w:rtl w:val="0"/>
          </w:rPr>
          <w:t xml:space="preserve">The Journal of Risk and Insurance</w:t>
        </w:r>
      </w:hyperlink>
      <w:hyperlink r:id="rId55">
        <w:r w:rsidDel="00000000" w:rsidR="00000000" w:rsidRPr="00000000">
          <w:rPr>
            <w:rFonts w:ascii="Times New Roman" w:cs="Times New Roman" w:eastAsia="Times New Roman" w:hAnsi="Times New Roman"/>
            <w:sz w:val="24"/>
            <w:szCs w:val="24"/>
            <w:vertAlign w:val="baseline"/>
            <w:rtl w:val="0"/>
          </w:rPr>
          <w:t xml:space="preserve">, </w:t>
        </w:r>
      </w:hyperlink>
      <w:hyperlink r:id="rId56">
        <w:r w:rsidDel="00000000" w:rsidR="00000000" w:rsidRPr="00000000">
          <w:rPr>
            <w:rFonts w:ascii="Times New Roman" w:cs="Times New Roman" w:eastAsia="Times New Roman" w:hAnsi="Times New Roman"/>
            <w:i w:val="1"/>
            <w:sz w:val="24"/>
            <w:szCs w:val="24"/>
            <w:vertAlign w:val="baseline"/>
            <w:rtl w:val="0"/>
          </w:rPr>
          <w:t xml:space="preserve">64</w:t>
        </w:r>
      </w:hyperlink>
      <w:hyperlink r:id="rId57">
        <w:r w:rsidDel="00000000" w:rsidR="00000000" w:rsidRPr="00000000">
          <w:rPr>
            <w:rFonts w:ascii="Times New Roman" w:cs="Times New Roman" w:eastAsia="Times New Roman" w:hAnsi="Times New Roman"/>
            <w:sz w:val="24"/>
            <w:szCs w:val="24"/>
            <w:vertAlign w:val="baseline"/>
            <w:rtl w:val="0"/>
          </w:rPr>
          <w:t xml:space="preserve">(2), 231. https://doi.org/10.2307/253730</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sz w:val="24"/>
            <w:szCs w:val="24"/>
            <w:vertAlign w:val="baseline"/>
            <w:rtl w:val="0"/>
          </w:rPr>
          <w:t xml:space="preserve">Saunders, A., &amp; Cornett, M. M. (2018). </w:t>
        </w:r>
      </w:hyperlink>
      <w:hyperlink r:id="rId59">
        <w:r w:rsidDel="00000000" w:rsidR="00000000" w:rsidRPr="00000000">
          <w:rPr>
            <w:rFonts w:ascii="Times New Roman" w:cs="Times New Roman" w:eastAsia="Times New Roman" w:hAnsi="Times New Roman"/>
            <w:i w:val="1"/>
            <w:sz w:val="24"/>
            <w:szCs w:val="24"/>
            <w:vertAlign w:val="baseline"/>
            <w:rtl w:val="0"/>
          </w:rPr>
          <w:t xml:space="preserve">Financial institutions management: A risk management approach</w:t>
        </w:r>
      </w:hyperlink>
      <w:hyperlink r:id="rId60">
        <w:r w:rsidDel="00000000" w:rsidR="00000000" w:rsidRPr="00000000">
          <w:rPr>
            <w:rFonts w:ascii="Times New Roman" w:cs="Times New Roman" w:eastAsia="Times New Roman" w:hAnsi="Times New Roman"/>
            <w:sz w:val="24"/>
            <w:szCs w:val="24"/>
            <w:vertAlign w:val="baseline"/>
            <w:rtl w:val="0"/>
          </w:rPr>
          <w:t xml:space="preserve"> (Ninth Edition). McGraw-Hill Education.</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sz w:val="24"/>
            <w:szCs w:val="24"/>
            <w:vertAlign w:val="baseline"/>
            <w:rtl w:val="0"/>
          </w:rPr>
          <w:t xml:space="preserve">Shanmugan, B., &amp; Bourke, P. (1990). </w:t>
        </w:r>
      </w:hyperlink>
      <w:hyperlink r:id="rId62">
        <w:r w:rsidDel="00000000" w:rsidR="00000000" w:rsidRPr="00000000">
          <w:rPr>
            <w:rFonts w:ascii="Times New Roman" w:cs="Times New Roman" w:eastAsia="Times New Roman" w:hAnsi="Times New Roman"/>
            <w:i w:val="1"/>
            <w:sz w:val="24"/>
            <w:szCs w:val="24"/>
            <w:vertAlign w:val="baseline"/>
            <w:rtl w:val="0"/>
          </w:rPr>
          <w:t xml:space="preserve">The Management of financial institutions: Selected readings</w:t>
        </w:r>
      </w:hyperlink>
      <w:hyperlink r:id="rId63">
        <w:r w:rsidDel="00000000" w:rsidR="00000000" w:rsidRPr="00000000">
          <w:rPr>
            <w:rFonts w:ascii="Times New Roman" w:cs="Times New Roman" w:eastAsia="Times New Roman" w:hAnsi="Times New Roman"/>
            <w:sz w:val="24"/>
            <w:szCs w:val="24"/>
            <w:vertAlign w:val="baseline"/>
            <w:rtl w:val="0"/>
          </w:rPr>
          <w:t xml:space="preserve">. Addison-Wesley Publishing, Reading, MA.</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sz w:val="24"/>
            <w:szCs w:val="24"/>
            <w:vertAlign w:val="baseline"/>
            <w:rtl w:val="0"/>
          </w:rPr>
          <w:t xml:space="preserve">Simão, S. B. S. (n.d.). </w:t>
        </w:r>
      </w:hyperlink>
      <w:hyperlink r:id="rId65">
        <w:r w:rsidDel="00000000" w:rsidR="00000000" w:rsidRPr="00000000">
          <w:rPr>
            <w:rFonts w:ascii="Times New Roman" w:cs="Times New Roman" w:eastAsia="Times New Roman" w:hAnsi="Times New Roman"/>
            <w:i w:val="1"/>
            <w:sz w:val="24"/>
            <w:szCs w:val="24"/>
            <w:vertAlign w:val="baseline"/>
            <w:rtl w:val="0"/>
          </w:rPr>
          <w:t xml:space="preserve">Data Science and Advanced Analytics</w:t>
        </w:r>
      </w:hyperlink>
      <w:hyperlink r:id="rId66">
        <w:r w:rsidDel="00000000" w:rsidR="00000000" w:rsidRPr="00000000">
          <w:rPr>
            <w:rFonts w:ascii="Times New Roman" w:cs="Times New Roman" w:eastAsia="Times New Roman" w:hAnsi="Times New Roman"/>
            <w:sz w:val="24"/>
            <w:szCs w:val="24"/>
            <w:vertAlign w:val="baseline"/>
            <w:rtl w:val="0"/>
          </w:rPr>
          <w:t xml:space="preserve">.</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sz w:val="24"/>
            <w:szCs w:val="24"/>
            <w:vertAlign w:val="baseline"/>
            <w:rtl w:val="0"/>
          </w:rPr>
          <w:t xml:space="preserve">Teng, H.-W., &amp; Lee, M. (2019). Estimation Procedures of Using Five Alternative Machine Learning Methods for Predicting Credit Card Default. </w:t>
        </w:r>
      </w:hyperlink>
      <w:hyperlink r:id="rId68">
        <w:r w:rsidDel="00000000" w:rsidR="00000000" w:rsidRPr="00000000">
          <w:rPr>
            <w:rFonts w:ascii="Times New Roman" w:cs="Times New Roman" w:eastAsia="Times New Roman" w:hAnsi="Times New Roman"/>
            <w:i w:val="1"/>
            <w:sz w:val="24"/>
            <w:szCs w:val="24"/>
            <w:vertAlign w:val="baseline"/>
            <w:rtl w:val="0"/>
          </w:rPr>
          <w:t xml:space="preserve">Review of Pacific Basin Financial Markets and Policies</w:t>
        </w:r>
      </w:hyperlink>
      <w:hyperlink r:id="rId69">
        <w:r w:rsidDel="00000000" w:rsidR="00000000" w:rsidRPr="00000000">
          <w:rPr>
            <w:rFonts w:ascii="Times New Roman" w:cs="Times New Roman" w:eastAsia="Times New Roman" w:hAnsi="Times New Roman"/>
            <w:sz w:val="24"/>
            <w:szCs w:val="24"/>
            <w:vertAlign w:val="baseline"/>
            <w:rtl w:val="0"/>
          </w:rPr>
          <w:t xml:space="preserve">, </w:t>
        </w:r>
      </w:hyperlink>
      <w:hyperlink r:id="rId70">
        <w:r w:rsidDel="00000000" w:rsidR="00000000" w:rsidRPr="00000000">
          <w:rPr>
            <w:rFonts w:ascii="Times New Roman" w:cs="Times New Roman" w:eastAsia="Times New Roman" w:hAnsi="Times New Roman"/>
            <w:i w:val="1"/>
            <w:sz w:val="24"/>
            <w:szCs w:val="24"/>
            <w:vertAlign w:val="baseline"/>
            <w:rtl w:val="0"/>
          </w:rPr>
          <w:t xml:space="preserve">22</w:t>
        </w:r>
      </w:hyperlink>
      <w:hyperlink r:id="rId71">
        <w:r w:rsidDel="00000000" w:rsidR="00000000" w:rsidRPr="00000000">
          <w:rPr>
            <w:rFonts w:ascii="Times New Roman" w:cs="Times New Roman" w:eastAsia="Times New Roman" w:hAnsi="Times New Roman"/>
            <w:sz w:val="24"/>
            <w:szCs w:val="24"/>
            <w:vertAlign w:val="baseline"/>
            <w:rtl w:val="0"/>
          </w:rPr>
          <w:t xml:space="preserve">(03), 1950021. https://doi.org/10.1142/S0219091519500218</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before="84" w:line="480" w:lineRule="auto"/>
        <w:ind w:left="252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RELEVANT INFORMATION</w:t>
      </w:r>
    </w:p>
    <w:p w:rsidR="00000000" w:rsidDel="00000000" w:rsidP="00000000" w:rsidRDefault="00000000" w:rsidRPr="00000000" w14:paraId="00000120">
      <w:pPr>
        <w:pStyle w:val="Heading2"/>
        <w:numPr>
          <w:ilvl w:val="0"/>
          <w:numId w:val="8"/>
        </w:numPr>
        <w:spacing w:after="0" w:afterAutospacing="0" w:line="480" w:lineRule="auto"/>
        <w:ind w:left="720" w:right="2147"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Financial Arrangement</w:t>
      </w:r>
      <w:r w:rsidDel="00000000" w:rsidR="00000000" w:rsidRPr="00000000">
        <w:rPr>
          <w:rtl w:val="0"/>
        </w:rPr>
      </w:r>
    </w:p>
    <w:p w:rsidR="00000000" w:rsidDel="00000000" w:rsidP="00000000" w:rsidRDefault="00000000" w:rsidRPr="00000000" w14:paraId="00000121">
      <w:pPr>
        <w:numPr>
          <w:ilvl w:val="0"/>
          <w:numId w:val="16"/>
        </w:numPr>
        <w:tabs>
          <w:tab w:val="center" w:leader="none" w:pos="600"/>
          <w:tab w:val="center" w:leader="none" w:pos="1714"/>
        </w:tabs>
        <w:spacing w:after="82"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Sponsorship</w:t>
      </w:r>
      <w:r w:rsidDel="00000000" w:rsidR="00000000" w:rsidRPr="00000000">
        <w:rPr>
          <w:rtl w:val="0"/>
        </w:rPr>
      </w:r>
    </w:p>
    <w:p w:rsidR="00000000" w:rsidDel="00000000" w:rsidP="00000000" w:rsidRDefault="00000000" w:rsidRPr="00000000" w14:paraId="00000122">
      <w:pPr>
        <w:spacing w:after="204" w:before="84" w:line="480" w:lineRule="auto"/>
        <w:ind w:left="3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project will be self-funded.</w:t>
      </w:r>
    </w:p>
    <w:p w:rsidR="00000000" w:rsidDel="00000000" w:rsidP="00000000" w:rsidRDefault="00000000" w:rsidRPr="00000000" w14:paraId="00000123">
      <w:pPr>
        <w:numPr>
          <w:ilvl w:val="0"/>
          <w:numId w:val="31"/>
        </w:numPr>
        <w:tabs>
          <w:tab w:val="center" w:leader="none" w:pos="600"/>
          <w:tab w:val="center" w:leader="none" w:pos="1955"/>
        </w:tabs>
        <w:spacing w:after="118" w:before="84"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Budget</w:t>
      </w:r>
      <w:r w:rsidDel="00000000" w:rsidR="00000000" w:rsidRPr="00000000">
        <w:rPr>
          <w:rtl w:val="0"/>
        </w:rPr>
      </w:r>
    </w:p>
    <w:p w:rsidR="00000000" w:rsidDel="00000000" w:rsidP="00000000" w:rsidRDefault="00000000" w:rsidRPr="00000000" w14:paraId="00000124">
      <w:pPr>
        <w:spacing w:after="204" w:before="84" w:line="480" w:lineRule="auto"/>
        <w:ind w:left="34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items and their costs respectively need to accomplish this research.</w:t>
      </w:r>
    </w:p>
    <w:tbl>
      <w:tblPr>
        <w:tblStyle w:val="Table3"/>
        <w:tblW w:w="6732.0" w:type="dxa"/>
        <w:jc w:val="left"/>
        <w:tblInd w:w="620.0" w:type="dxa"/>
        <w:tblLayout w:type="fixed"/>
        <w:tblLook w:val="0400"/>
      </w:tblPr>
      <w:tblGrid>
        <w:gridCol w:w="3824"/>
        <w:gridCol w:w="2908"/>
        <w:tblGridChange w:id="0">
          <w:tblGrid>
            <w:gridCol w:w="3824"/>
            <w:gridCol w:w="290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COST(TSH)</w:t>
            </w:r>
            <w:r w:rsidDel="00000000" w:rsidR="00000000" w:rsidRPr="00000000">
              <w:rPr>
                <w:rtl w:val="0"/>
              </w:rPr>
            </w:r>
          </w:p>
        </w:tc>
      </w:tr>
      <w:tr>
        <w:trPr>
          <w:cantSplit w:val="0"/>
          <w:trHeight w:val="64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and Preparation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rHeight w:val="66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and tools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B">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materials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C">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300,000/=</w:t>
            </w:r>
          </w:p>
        </w:tc>
      </w:tr>
      <w:tr>
        <w:trPr>
          <w:cantSplit w:val="0"/>
          <w:trHeight w:val="599"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D">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resources</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2E">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2,500,000/=</w:t>
            </w:r>
          </w:p>
        </w:tc>
      </w:tr>
      <w:tr>
        <w:trPr>
          <w:cantSplit w:val="0"/>
          <w:trHeight w:val="554"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1">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 expenses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2">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spacing w:after="160" w:before="84"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34">
            <w:pPr>
              <w:spacing w:before="84" w:line="480" w:lineRule="auto"/>
              <w:ind w:lef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4,300,000/=</w:t>
            </w:r>
            <w:r w:rsidDel="00000000" w:rsidR="00000000" w:rsidRPr="00000000">
              <w:rPr>
                <w:rtl w:val="0"/>
              </w:rPr>
            </w:r>
          </w:p>
        </w:tc>
      </w:tr>
    </w:tbl>
    <w:p w:rsidR="00000000" w:rsidDel="00000000" w:rsidP="00000000" w:rsidRDefault="00000000" w:rsidRPr="00000000" w14:paraId="00000135">
      <w:pPr>
        <w:spacing w:after="82" w:before="84" w:line="480" w:lineRule="auto"/>
        <w:ind w:left="355" w:right="21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82" w:before="84" w:line="480" w:lineRule="auto"/>
        <w:ind w:left="355" w:right="21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82" w:before="84" w:line="480" w:lineRule="auto"/>
        <w:ind w:left="355" w:right="214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32"/>
        </w:numPr>
        <w:spacing w:after="82" w:before="84" w:line="480" w:lineRule="auto"/>
        <w:ind w:left="720" w:right="214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 of the Study</w:t>
      </w:r>
      <w:r w:rsidDel="00000000" w:rsidR="00000000" w:rsidRPr="00000000">
        <w:rPr>
          <w:rtl w:val="0"/>
        </w:rPr>
      </w:r>
    </w:p>
    <w:p w:rsidR="00000000" w:rsidDel="00000000" w:rsidP="00000000" w:rsidRDefault="00000000" w:rsidRPr="00000000" w14:paraId="00000139">
      <w:pPr>
        <w:spacing w:after="204" w:before="84"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Gantt chart that shows the duration of study in months from August 2023 to July 2024.</w:t>
      </w:r>
    </w:p>
    <w:p w:rsidR="00000000" w:rsidDel="00000000" w:rsidP="00000000" w:rsidRDefault="00000000" w:rsidRPr="00000000" w14:paraId="0000013A">
      <w:pPr>
        <w:widowControl w:val="0"/>
        <w:spacing w:line="480" w:lineRule="auto"/>
        <w:jc w:val="both"/>
        <w:rPr>
          <w:rFonts w:ascii="Times New Roman" w:cs="Times New Roman" w:eastAsia="Times New Roman" w:hAnsi="Times New Roman"/>
          <w:b w:val="1"/>
          <w:color w:val="00000a"/>
          <w:sz w:val="24"/>
          <w:szCs w:val="24"/>
        </w:rPr>
      </w:pPr>
      <w:r w:rsidDel="00000000" w:rsidR="00000000" w:rsidRPr="00000000">
        <w:rPr>
          <w:rtl w:val="0"/>
        </w:rPr>
      </w:r>
    </w:p>
    <w:tbl>
      <w:tblPr>
        <w:tblStyle w:val="Table4"/>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5"/>
        <w:gridCol w:w="495"/>
        <w:gridCol w:w="495"/>
        <w:gridCol w:w="495"/>
        <w:gridCol w:w="630"/>
        <w:gridCol w:w="585"/>
        <w:gridCol w:w="435"/>
        <w:gridCol w:w="315"/>
        <w:gridCol w:w="495"/>
        <w:gridCol w:w="495"/>
        <w:gridCol w:w="495"/>
        <w:gridCol w:w="495"/>
        <w:gridCol w:w="495"/>
        <w:gridCol w:w="495"/>
        <w:gridCol w:w="495"/>
        <w:gridCol w:w="495"/>
        <w:gridCol w:w="495"/>
        <w:gridCol w:w="495"/>
        <w:gridCol w:w="495"/>
        <w:tblGridChange w:id="0">
          <w:tblGrid>
            <w:gridCol w:w="780"/>
            <w:gridCol w:w="195"/>
            <w:gridCol w:w="495"/>
            <w:gridCol w:w="495"/>
            <w:gridCol w:w="495"/>
            <w:gridCol w:w="630"/>
            <w:gridCol w:w="585"/>
            <w:gridCol w:w="435"/>
            <w:gridCol w:w="315"/>
            <w:gridCol w:w="495"/>
            <w:gridCol w:w="495"/>
            <w:gridCol w:w="495"/>
            <w:gridCol w:w="495"/>
            <w:gridCol w:w="495"/>
            <w:gridCol w:w="495"/>
            <w:gridCol w:w="495"/>
            <w:gridCol w:w="495"/>
            <w:gridCol w:w="495"/>
            <w:gridCol w:w="495"/>
            <w:gridCol w:w="495"/>
          </w:tblGrid>
        </w:tblGridChange>
      </w:tblGrid>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Activity</w:t>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2023</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2024</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July</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Literature Review</w:t>
            </w:r>
          </w:p>
        </w:tc>
        <w:tc>
          <w:tcPr>
            <w:shd w:fill="808080"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b w:val="1"/>
                <w:color w:val="0c343d"/>
                <w:sz w:val="24"/>
                <w:szCs w:val="24"/>
                <w:shd w:fill="0c343d" w:val="clear"/>
              </w:rPr>
            </w:pPr>
            <w:r w:rsidDel="00000000" w:rsidR="00000000" w:rsidRPr="00000000">
              <w:rPr>
                <w:rtl w:val="0"/>
              </w:rPr>
            </w:r>
          </w:p>
        </w:tc>
      </w:tr>
      <w:tr>
        <w:trPr>
          <w:cantSplit w:val="0"/>
          <w:trHeight w:val="752.9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Research Proposal Writing and Submission</w:t>
            </w:r>
          </w:p>
        </w:tc>
        <w:tc>
          <w:tcPr>
            <w:shd w:fill="808080"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542.929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Data Preprocessing, Cleaning,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Model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Results and Interpretation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Report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Report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c>
          <w:tcPr>
            <w:shd w:fill="808080"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both"/>
              <w:rPr>
                <w:rFonts w:ascii="Times New Roman" w:cs="Times New Roman" w:eastAsia="Times New Roman" w:hAnsi="Times New Roman"/>
                <w:b w:val="1"/>
                <w:color w:val="00000a"/>
                <w:sz w:val="24"/>
                <w:szCs w:val="24"/>
              </w:rPr>
            </w:pPr>
            <w:r w:rsidDel="00000000" w:rsidR="00000000" w:rsidRPr="00000000">
              <w:rPr>
                <w:rtl w:val="0"/>
              </w:rPr>
            </w:r>
          </w:p>
        </w:tc>
      </w:tr>
    </w:tbl>
    <w:p w:rsidR="00000000" w:rsidDel="00000000" w:rsidP="00000000" w:rsidRDefault="00000000" w:rsidRPr="00000000" w14:paraId="00000203">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82" w:before="84" w:line="264" w:lineRule="auto"/>
        <w:ind w:left="0" w:right="21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82" w:before="84" w:line="264" w:lineRule="auto"/>
        <w:ind w:left="0" w:right="21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82" w:before="84" w:line="264" w:lineRule="auto"/>
        <w:ind w:left="0" w:right="21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after="82" w:before="84" w:line="264" w:lineRule="auto"/>
        <w:ind w:left="355" w:right="21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before="84"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before="84"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Candidate’s Name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 Candidate’s Signature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0B">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w:t>
      </w:r>
    </w:p>
    <w:p w:rsidR="00000000" w:rsidDel="00000000" w:rsidP="00000000" w:rsidRDefault="00000000" w:rsidRPr="00000000" w14:paraId="0000020C">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0D">
      <w:pPr>
        <w:spacing w:before="84" w:line="360" w:lineRule="auto"/>
        <w:ind w:lef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Supervisors’(s) &amp; Principal’s Comments</w:t>
      </w:r>
    </w:p>
    <w:p w:rsidR="00000000" w:rsidDel="00000000" w:rsidP="00000000" w:rsidRDefault="00000000" w:rsidRPr="00000000" w14:paraId="0000020E">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Comment by Supervisor</w:t>
      </w:r>
    </w:p>
    <w:p w:rsidR="00000000" w:rsidDel="00000000" w:rsidP="00000000" w:rsidRDefault="00000000" w:rsidRPr="00000000" w14:paraId="0000020F">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10">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11">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 Signature: …………………..</w:t>
      </w:r>
    </w:p>
    <w:p w:rsidR="00000000" w:rsidDel="00000000" w:rsidP="00000000" w:rsidRDefault="00000000" w:rsidRPr="00000000" w14:paraId="00000212">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13">
      <w:pPr>
        <w:spacing w:before="84"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SUPERVISOR</w:t>
      </w:r>
    </w:p>
    <w:p w:rsidR="00000000" w:rsidDel="00000000" w:rsidP="00000000" w:rsidRDefault="00000000" w:rsidRPr="00000000" w14:paraId="00000214">
      <w:pPr>
        <w:spacing w:before="84" w:line="360" w:lineRule="auto"/>
        <w:ind w:left="360" w:firstLine="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15">
      <w:pPr>
        <w:spacing w:before="84" w:line="360" w:lineRule="auto"/>
        <w:ind w:left="360" w:firstLine="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16">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Principal’s comment </w:t>
      </w:r>
    </w:p>
    <w:p w:rsidR="00000000" w:rsidDel="00000000" w:rsidP="00000000" w:rsidRDefault="00000000" w:rsidRPr="00000000" w14:paraId="00000217">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18">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19">
      <w:pPr>
        <w:spacing w:before="84" w:line="360" w:lineRule="auto"/>
        <w:ind w:left="36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Name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  Signature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21A">
      <w:pPr>
        <w:spacing w:before="84" w:line="360" w:lineRule="auto"/>
        <w:ind w:left="360" w:firstLine="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Date</w:t>
      </w:r>
      <w:r w:rsidDel="00000000" w:rsidR="00000000" w:rsidRPr="00000000">
        <w:rPr>
          <w:rFonts w:ascii="Times New Roman" w:cs="Times New Roman" w:eastAsia="Times New Roman" w:hAnsi="Times New Roman"/>
          <w:b w:val="1"/>
          <w:color w:val="00000a"/>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w:t>
      </w:r>
      <w:r w:rsidDel="00000000" w:rsidR="00000000" w:rsidRPr="00000000">
        <w:rPr>
          <w:rtl w:val="0"/>
        </w:rPr>
      </w:r>
    </w:p>
    <w:p w:rsidR="00000000" w:rsidDel="00000000" w:rsidP="00000000" w:rsidRDefault="00000000" w:rsidRPr="00000000" w14:paraId="0000021B">
      <w:pPr>
        <w:spacing w:before="84" w:line="360" w:lineRule="auto"/>
        <w:ind w:left="360"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PRINCIPAL</w:t>
      </w:r>
    </w:p>
    <w:p w:rsidR="00000000" w:rsidDel="00000000" w:rsidP="00000000" w:rsidRDefault="00000000" w:rsidRPr="00000000" w14:paraId="0000021C">
      <w:pPr>
        <w:spacing w:after="82" w:before="84" w:line="264" w:lineRule="auto"/>
        <w:ind w:left="355" w:right="2147" w:firstLine="0"/>
        <w:rPr>
          <w:rFonts w:ascii="Times New Roman" w:cs="Times New Roman" w:eastAsia="Times New Roman" w:hAnsi="Times New Roman"/>
          <w:sz w:val="24"/>
          <w:szCs w:val="24"/>
        </w:rPr>
      </w:pPr>
      <w:r w:rsidDel="00000000" w:rsidR="00000000" w:rsidRPr="00000000">
        <w:rPr>
          <w:rtl w:val="0"/>
        </w:rPr>
      </w:r>
    </w:p>
    <w:sectPr>
      <w:headerReference r:id="rId72" w:type="default"/>
      <w:headerReference r:id="rId73" w:type="first"/>
      <w:footerReference r:id="rId7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jc w:val="right"/>
      <w:rPr/>
    </w:pPr>
    <w:r w:rsidDel="00000000" w:rsidR="00000000" w:rsidRPr="00000000">
      <w:rPr>
        <w:rtl w:val="0"/>
      </w:rPr>
    </w:r>
  </w:p>
  <w:p w:rsidR="00000000" w:rsidDel="00000000" w:rsidP="00000000" w:rsidRDefault="00000000" w:rsidRPr="00000000" w14:paraId="0000021F">
    <w:pPr>
      <w:jc w:val="right"/>
      <w:rPr/>
    </w:pPr>
    <w:r w:rsidDel="00000000" w:rsidR="00000000" w:rsidRPr="00000000">
      <w:rPr>
        <w:rtl w:val="0"/>
      </w:rPr>
    </w:r>
  </w:p>
  <w:p w:rsidR="00000000" w:rsidDel="00000000" w:rsidP="00000000" w:rsidRDefault="00000000" w:rsidRPr="00000000" w14:paraId="0000022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0"/>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8"/>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3.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5"/>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5"/>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3"/>
      <w:numFmt w:val="decimal"/>
      <w:lvlText w:val="%1.7"/>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3"/>
      <w:numFmt w:val="decimal"/>
      <w:lvlText w:val="%1.2.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2"/>
      <w:numFmt w:val="decimal"/>
      <w:lvlText w:val="%1.7"/>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2"/>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5"/>
      <w:numFmt w:val="decimal"/>
      <w:lvlText w:val="%1.1.2"/>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2"/>
      <w:numFmt w:val="decimal"/>
      <w:lvlText w:val="%1.9"/>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5"/>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3"/>
      <w:numFmt w:val="decimal"/>
      <w:lvlText w:val="%1.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3"/>
      <w:numFmt w:val="decimal"/>
      <w:lvlText w:val="%1.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3"/>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3"/>
      <w:numFmt w:val="decimal"/>
      <w:lvlText w:val="%1.6"/>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3"/>
      <w:numFmt w:val="decimal"/>
      <w:lvlText w:val="%1.2.2"/>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3"/>
      <w:numFmt w:val="decimal"/>
      <w:lvlText w:val="%1.5.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3"/>
      <w:numFmt w:val="decimal"/>
      <w:lvlText w:val="%1.2.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5"/>
      <w:numFmt w:val="decimal"/>
      <w:lvlText w:val="%1.1.3"/>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5"/>
      <w:numFmt w:val="decimal"/>
      <w:lvlText w:val="%1.2"/>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2"/>
      <w:numFmt w:val="decimal"/>
      <w:lvlText w:val="%1.4"/>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2"/>
      <w:numFmt w:val="decimal"/>
      <w:lvlText w:val="%1.3"/>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2"/>
      <w:numFmt w:val="decimal"/>
      <w:lvlText w:val="%1.6"/>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73.0" w:type="dxa"/>
        <w:left w:w="101.0" w:type="dxa"/>
        <w:bottom w:w="0.0" w:type="dxa"/>
        <w:right w:w="112.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VCrxyY" TargetMode="External"/><Relationship Id="rId42" Type="http://schemas.openxmlformats.org/officeDocument/2006/relationships/hyperlink" Target="https://www.zotero.org/google-docs/?VCrxyY" TargetMode="External"/><Relationship Id="rId41" Type="http://schemas.openxmlformats.org/officeDocument/2006/relationships/hyperlink" Target="https://www.zotero.org/google-docs/?VCrxyY" TargetMode="External"/><Relationship Id="rId44" Type="http://schemas.openxmlformats.org/officeDocument/2006/relationships/hyperlink" Target="https://www.zotero.org/google-docs/?VCrxyY" TargetMode="External"/><Relationship Id="rId43" Type="http://schemas.openxmlformats.org/officeDocument/2006/relationships/hyperlink" Target="https://www.zotero.org/google-docs/?VCrxyY" TargetMode="External"/><Relationship Id="rId46" Type="http://schemas.openxmlformats.org/officeDocument/2006/relationships/hyperlink" Target="https://www.zotero.org/google-docs/?VCrxyY" TargetMode="External"/><Relationship Id="rId45" Type="http://schemas.openxmlformats.org/officeDocument/2006/relationships/hyperlink" Target="https://www.zotero.org/google-docs/?VCrxy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VTlibJ" TargetMode="External"/><Relationship Id="rId48" Type="http://schemas.openxmlformats.org/officeDocument/2006/relationships/hyperlink" Target="https://www.zotero.org/google-docs/?VCrxyY" TargetMode="External"/><Relationship Id="rId47" Type="http://schemas.openxmlformats.org/officeDocument/2006/relationships/hyperlink" Target="https://www.zotero.org/google-docs/?VCrxyY" TargetMode="External"/><Relationship Id="rId49" Type="http://schemas.openxmlformats.org/officeDocument/2006/relationships/hyperlink" Target="https://www.zotero.org/google-docs/?VCrxyY" TargetMode="External"/><Relationship Id="rId5" Type="http://schemas.openxmlformats.org/officeDocument/2006/relationships/styles" Target="styles.xml"/><Relationship Id="rId6" Type="http://schemas.openxmlformats.org/officeDocument/2006/relationships/hyperlink" Target="https://www.zotero.org/google-docs/?GFRvv0" TargetMode="External"/><Relationship Id="rId7" Type="http://schemas.openxmlformats.org/officeDocument/2006/relationships/hyperlink" Target="https://www.zotero.org/google-docs/?VTlibJ" TargetMode="External"/><Relationship Id="rId8" Type="http://schemas.openxmlformats.org/officeDocument/2006/relationships/hyperlink" Target="https://www.zotero.org/google-docs/?VTlibJ" TargetMode="External"/><Relationship Id="rId73" Type="http://schemas.openxmlformats.org/officeDocument/2006/relationships/header" Target="header1.xml"/><Relationship Id="rId72" Type="http://schemas.openxmlformats.org/officeDocument/2006/relationships/header" Target="header2.xml"/><Relationship Id="rId31" Type="http://schemas.openxmlformats.org/officeDocument/2006/relationships/hyperlink" Target="https://www.zotero.org/google-docs/?VCrxyY" TargetMode="External"/><Relationship Id="rId30" Type="http://schemas.openxmlformats.org/officeDocument/2006/relationships/hyperlink" Target="https://www.zotero.org/google-docs/?VCrxyY" TargetMode="External"/><Relationship Id="rId74" Type="http://schemas.openxmlformats.org/officeDocument/2006/relationships/footer" Target="footer1.xml"/><Relationship Id="rId33" Type="http://schemas.openxmlformats.org/officeDocument/2006/relationships/hyperlink" Target="https://www.zotero.org/google-docs/?VCrxyY" TargetMode="External"/><Relationship Id="rId32" Type="http://schemas.openxmlformats.org/officeDocument/2006/relationships/hyperlink" Target="https://www.zotero.org/google-docs/?VCrxyY" TargetMode="External"/><Relationship Id="rId35" Type="http://schemas.openxmlformats.org/officeDocument/2006/relationships/hyperlink" Target="https://www.zotero.org/google-docs/?VCrxyY" TargetMode="External"/><Relationship Id="rId34" Type="http://schemas.openxmlformats.org/officeDocument/2006/relationships/hyperlink" Target="https://www.zotero.org/google-docs/?VCrxyY" TargetMode="External"/><Relationship Id="rId71" Type="http://schemas.openxmlformats.org/officeDocument/2006/relationships/hyperlink" Target="https://www.zotero.org/google-docs/?VCrxyY" TargetMode="External"/><Relationship Id="rId70" Type="http://schemas.openxmlformats.org/officeDocument/2006/relationships/hyperlink" Target="https://www.zotero.org/google-docs/?VCrxyY" TargetMode="External"/><Relationship Id="rId37" Type="http://schemas.openxmlformats.org/officeDocument/2006/relationships/hyperlink" Target="https://www.zotero.org/google-docs/?VCrxyY" TargetMode="External"/><Relationship Id="rId36" Type="http://schemas.openxmlformats.org/officeDocument/2006/relationships/hyperlink" Target="https://www.zotero.org/google-docs/?VCrxyY" TargetMode="External"/><Relationship Id="rId39" Type="http://schemas.openxmlformats.org/officeDocument/2006/relationships/hyperlink" Target="https://www.zotero.org/google-docs/?VCrxyY" TargetMode="External"/><Relationship Id="rId38" Type="http://schemas.openxmlformats.org/officeDocument/2006/relationships/hyperlink" Target="https://www.zotero.org/google-docs/?VCrxyY" TargetMode="External"/><Relationship Id="rId62" Type="http://schemas.openxmlformats.org/officeDocument/2006/relationships/hyperlink" Target="https://www.zotero.org/google-docs/?VCrxyY" TargetMode="External"/><Relationship Id="rId61" Type="http://schemas.openxmlformats.org/officeDocument/2006/relationships/hyperlink" Target="https://www.zotero.org/google-docs/?VCrxyY" TargetMode="External"/><Relationship Id="rId20" Type="http://schemas.openxmlformats.org/officeDocument/2006/relationships/hyperlink" Target="https://www.zotero.org/google-docs/?tDYPS9" TargetMode="External"/><Relationship Id="rId64" Type="http://schemas.openxmlformats.org/officeDocument/2006/relationships/hyperlink" Target="https://www.zotero.org/google-docs/?VCrxyY" TargetMode="External"/><Relationship Id="rId63" Type="http://schemas.openxmlformats.org/officeDocument/2006/relationships/hyperlink" Target="https://www.zotero.org/google-docs/?VCrxyY" TargetMode="External"/><Relationship Id="rId22" Type="http://schemas.openxmlformats.org/officeDocument/2006/relationships/image" Target="media/image2.png"/><Relationship Id="rId66" Type="http://schemas.openxmlformats.org/officeDocument/2006/relationships/hyperlink" Target="https://www.zotero.org/google-docs/?VCrxyY" TargetMode="External"/><Relationship Id="rId21" Type="http://schemas.openxmlformats.org/officeDocument/2006/relationships/hyperlink" Target="https://www.zotero.org/google-docs/?tDYPS9" TargetMode="External"/><Relationship Id="rId65" Type="http://schemas.openxmlformats.org/officeDocument/2006/relationships/hyperlink" Target="https://www.zotero.org/google-docs/?VCrxyY" TargetMode="External"/><Relationship Id="rId24" Type="http://schemas.openxmlformats.org/officeDocument/2006/relationships/hyperlink" Target="https://www.zotero.org/google-docs/?kWZKSv" TargetMode="External"/><Relationship Id="rId68" Type="http://schemas.openxmlformats.org/officeDocument/2006/relationships/hyperlink" Target="https://www.zotero.org/google-docs/?VCrxyY" TargetMode="External"/><Relationship Id="rId23" Type="http://schemas.openxmlformats.org/officeDocument/2006/relationships/image" Target="media/image1.png"/><Relationship Id="rId67" Type="http://schemas.openxmlformats.org/officeDocument/2006/relationships/hyperlink" Target="https://www.zotero.org/google-docs/?VCrxyY" TargetMode="External"/><Relationship Id="rId60" Type="http://schemas.openxmlformats.org/officeDocument/2006/relationships/hyperlink" Target="https://www.zotero.org/google-docs/?VCrxyY" TargetMode="External"/><Relationship Id="rId26" Type="http://schemas.openxmlformats.org/officeDocument/2006/relationships/hyperlink" Target="https://www.zotero.org/google-docs/?NVIxwJ" TargetMode="External"/><Relationship Id="rId25" Type="http://schemas.openxmlformats.org/officeDocument/2006/relationships/hyperlink" Target="https://www.zotero.org/google-docs/?QHdrkW" TargetMode="External"/><Relationship Id="rId69" Type="http://schemas.openxmlformats.org/officeDocument/2006/relationships/hyperlink" Target="https://www.zotero.org/google-docs/?VCrxyY" TargetMode="External"/><Relationship Id="rId28" Type="http://schemas.openxmlformats.org/officeDocument/2006/relationships/hyperlink" Target="https://www.zotero.org/google-docs/?VCrxyY" TargetMode="External"/><Relationship Id="rId27" Type="http://schemas.openxmlformats.org/officeDocument/2006/relationships/hyperlink" Target="https://www.zotero.org/google-docs/?VCrxyY" TargetMode="External"/><Relationship Id="rId29" Type="http://schemas.openxmlformats.org/officeDocument/2006/relationships/hyperlink" Target="https://www.zotero.org/google-docs/?VCrxyY" TargetMode="External"/><Relationship Id="rId51" Type="http://schemas.openxmlformats.org/officeDocument/2006/relationships/hyperlink" Target="https://www.zotero.org/google-docs/?VCrxyY" TargetMode="External"/><Relationship Id="rId50" Type="http://schemas.openxmlformats.org/officeDocument/2006/relationships/hyperlink" Target="https://www.zotero.org/google-docs/?VCrxyY" TargetMode="External"/><Relationship Id="rId53" Type="http://schemas.openxmlformats.org/officeDocument/2006/relationships/hyperlink" Target="https://www.zotero.org/google-docs/?VCrxyY" TargetMode="External"/><Relationship Id="rId52" Type="http://schemas.openxmlformats.org/officeDocument/2006/relationships/hyperlink" Target="https://www.zotero.org/google-docs/?VCrxyY" TargetMode="External"/><Relationship Id="rId11" Type="http://schemas.openxmlformats.org/officeDocument/2006/relationships/hyperlink" Target="https://www.zotero.org/google-docs/?0JJ5V0" TargetMode="External"/><Relationship Id="rId55" Type="http://schemas.openxmlformats.org/officeDocument/2006/relationships/hyperlink" Target="https://www.zotero.org/google-docs/?VCrxyY" TargetMode="External"/><Relationship Id="rId10" Type="http://schemas.openxmlformats.org/officeDocument/2006/relationships/hyperlink" Target="https://www.zotero.org/google-docs/?z1RY00" TargetMode="External"/><Relationship Id="rId54" Type="http://schemas.openxmlformats.org/officeDocument/2006/relationships/hyperlink" Target="https://www.zotero.org/google-docs/?VCrxyY" TargetMode="External"/><Relationship Id="rId13" Type="http://schemas.openxmlformats.org/officeDocument/2006/relationships/hyperlink" Target="https://www.zotero.org/google-docs/?Sr0oUc" TargetMode="External"/><Relationship Id="rId57" Type="http://schemas.openxmlformats.org/officeDocument/2006/relationships/hyperlink" Target="https://www.zotero.org/google-docs/?VCrxyY" TargetMode="External"/><Relationship Id="rId12" Type="http://schemas.openxmlformats.org/officeDocument/2006/relationships/hyperlink" Target="https://www.zotero.org/google-docs/?yNfzHp" TargetMode="External"/><Relationship Id="rId56" Type="http://schemas.openxmlformats.org/officeDocument/2006/relationships/hyperlink" Target="https://www.zotero.org/google-docs/?VCrxyY" TargetMode="External"/><Relationship Id="rId15" Type="http://schemas.openxmlformats.org/officeDocument/2006/relationships/hyperlink" Target="https://www.zotero.org/google-docs/?zHXcBz" TargetMode="External"/><Relationship Id="rId59" Type="http://schemas.openxmlformats.org/officeDocument/2006/relationships/hyperlink" Target="https://www.zotero.org/google-docs/?VCrxyY" TargetMode="External"/><Relationship Id="rId14" Type="http://schemas.openxmlformats.org/officeDocument/2006/relationships/hyperlink" Target="https://www.zotero.org/google-docs/?tcqiZP" TargetMode="External"/><Relationship Id="rId58" Type="http://schemas.openxmlformats.org/officeDocument/2006/relationships/hyperlink" Target="https://www.zotero.org/google-docs/?VCrxyY" TargetMode="External"/><Relationship Id="rId17" Type="http://schemas.openxmlformats.org/officeDocument/2006/relationships/hyperlink" Target="https://www.zotero.org/google-docs/?jJRENi" TargetMode="External"/><Relationship Id="rId16" Type="http://schemas.openxmlformats.org/officeDocument/2006/relationships/hyperlink" Target="https://www.zotero.org/google-docs/?O9fxhz" TargetMode="External"/><Relationship Id="rId19" Type="http://schemas.openxmlformats.org/officeDocument/2006/relationships/hyperlink" Target="https://www.zotero.org/google-docs/?tDYPS9" TargetMode="External"/><Relationship Id="rId18" Type="http://schemas.openxmlformats.org/officeDocument/2006/relationships/hyperlink" Target="https://www.zotero.org/google-docs/?zRik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