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Luồng Báo Cáo SLA — Từ BOD đến Ops</w:t>
      </w:r>
    </w:p>
    <w:p>
      <w:pPr>
        <w:spacing w:after="120"/>
      </w:pPr>
      <w:r>
        <w:rPr>
          <w:b w:val="0"/>
          <w:i/>
          <w:color w:val="555555"/>
          <w:sz w:val="20"/>
        </w:rPr>
        <w:t>Tài liệu này giải thích 2 báo cáo SLA kết nối với nhau thế nào: ai đọc gì, khi nào escalate, và ops team báo cáo lại ra sao.</w:t>
      </w:r>
    </w:p>
    <w:p>
      <w:pPr>
        <w:pBdr>
          <w:bottom w:val="single" w:sz="6" w:space="1" w:color="CCCCCC"/>
        </w:pBdr>
        <w:spacing w:before="0" w:after="40"/>
      </w:pPr>
    </w:p>
    <w:p>
      <w:pPr>
        <w:pStyle w:val="Heading2"/>
      </w:pPr>
      <w:r>
        <w:t>Hệ Thống 2 Tầng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c>
          <w:tcPr>
            <w:tcW w:type="dxa" w:w="1947"/>
          </w:tcPr>
          <w:p>
            <w:r>
              <w:rPr>
                <w:b/>
                <w:sz w:val="19"/>
              </w:rPr>
              <w:t>Tầng</w:t>
            </w:r>
          </w:p>
        </w:tc>
        <w:tc>
          <w:tcPr>
            <w:tcW w:type="dxa" w:w="1947"/>
          </w:tcPr>
          <w:p>
            <w:r>
              <w:rPr>
                <w:b/>
                <w:sz w:val="19"/>
              </w:rPr>
              <w:t>Báo cáo</w:t>
            </w:r>
          </w:p>
        </w:tc>
        <w:tc>
          <w:tcPr>
            <w:tcW w:type="dxa" w:w="1947"/>
          </w:tcPr>
          <w:p>
            <w:r>
              <w:rPr>
                <w:b/>
                <w:sz w:val="19"/>
              </w:rPr>
              <w:t>Audience</w:t>
            </w:r>
          </w:p>
        </w:tc>
        <w:tc>
          <w:tcPr>
            <w:tcW w:type="dxa" w:w="1947"/>
          </w:tcPr>
          <w:p>
            <w:r>
              <w:rPr>
                <w:b/>
                <w:sz w:val="19"/>
              </w:rPr>
              <w:t>Câu hỏi</w:t>
            </w:r>
          </w:p>
        </w:tc>
        <w:tc>
          <w:tcPr>
            <w:tcW w:type="dxa" w:w="1947"/>
          </w:tcPr>
          <w:p>
            <w:r>
              <w:rPr>
                <w:b/>
                <w:sz w:val="19"/>
              </w:rPr>
              <w:t>Tần suất</w:t>
            </w:r>
          </w:p>
        </w:tc>
      </w:tr>
      <w:tr>
        <w:tc>
          <w:tcPr>
            <w:tcW w:type="dxa" w:w="1947"/>
          </w:tcPr>
          <w:p>
            <w:r>
              <w:rPr>
                <w:sz w:val="19"/>
              </w:rPr>
              <w:t>L1 — BOD</w:t>
            </w:r>
          </w:p>
        </w:tc>
        <w:tc>
          <w:tcPr>
            <w:tcW w:type="dxa" w:w="1947"/>
          </w:tcPr>
          <w:p>
            <w:r>
              <w:rPr>
                <w:sz w:val="19"/>
              </w:rPr>
              <w:t>Order SLA</w:t>
            </w:r>
          </w:p>
        </w:tc>
        <w:tc>
          <w:tcPr>
            <w:tcW w:type="dxa" w:w="1947"/>
          </w:tcPr>
          <w:p>
            <w:r>
              <w:rPr>
                <w:sz w:val="19"/>
              </w:rPr>
              <w:t>BOD, leadership</w:t>
            </w:r>
          </w:p>
        </w:tc>
        <w:tc>
          <w:tcPr>
            <w:tcW w:type="dxa" w:w="1947"/>
          </w:tcPr>
          <w:p>
            <w:r>
              <w:rPr>
                <w:sz w:val="19"/>
              </w:rPr>
              <w:t>Tháng này đạt bao nhiêu? Trend đi đâu?</w:t>
            </w:r>
          </w:p>
        </w:tc>
        <w:tc>
          <w:tcPr>
            <w:tcW w:type="dxa" w:w="1947"/>
          </w:tcPr>
          <w:p>
            <w:r>
              <w:rPr>
                <w:sz w:val="19"/>
              </w:rPr>
              <w:t>Hàng tháng</w:t>
            </w:r>
          </w:p>
        </w:tc>
      </w:tr>
      <w:tr>
        <w:tc>
          <w:tcPr>
            <w:tcW w:type="dxa" w:w="1947"/>
          </w:tcPr>
          <w:p>
            <w:r>
              <w:rPr>
                <w:sz w:val="19"/>
              </w:rPr>
              <w:t>L2 — Ops</w:t>
            </w:r>
          </w:p>
        </w:tc>
        <w:tc>
          <w:tcPr>
            <w:tcW w:type="dxa" w:w="1947"/>
          </w:tcPr>
          <w:p>
            <w:r>
              <w:rPr>
                <w:sz w:val="19"/>
              </w:rPr>
              <w:t>Ops SLA Drilldown</w:t>
            </w:r>
          </w:p>
        </w:tc>
        <w:tc>
          <w:tcPr>
            <w:tcW w:type="dxa" w:w="1947"/>
          </w:tcPr>
          <w:p>
            <w:r>
              <w:rPr>
                <w:sz w:val="19"/>
              </w:rPr>
              <w:t>Ops team</w:t>
            </w:r>
          </w:p>
        </w:tc>
        <w:tc>
          <w:tcPr>
            <w:tcW w:type="dxa" w:w="1947"/>
          </w:tcPr>
          <w:p>
            <w:r>
              <w:rPr>
                <w:sz w:val="19"/>
              </w:rPr>
              <w:t>Xưởng nào? Sản phẩm nào? Nguyên nhân gì?</w:t>
            </w:r>
          </w:p>
        </w:tc>
        <w:tc>
          <w:tcPr>
            <w:tcW w:type="dxa" w:w="1947"/>
          </w:tcPr>
          <w:p>
            <w:r>
              <w:rPr>
                <w:sz w:val="19"/>
              </w:rPr>
              <w:t>Khi được escalate</w:t>
            </w:r>
          </w:p>
        </w:tc>
      </w:tr>
    </w:tbl>
    <w:p/>
    <w:p>
      <w:pPr>
        <w:spacing w:after="120"/>
      </w:pPr>
      <w:r>
        <w:rPr>
          <w:b/>
          <w:i w:val="0"/>
          <w:sz w:val="20"/>
        </w:rPr>
        <w:t>Nguyên tắc: BOD không drill down. Ops không báo cáo aggregate. Hai tầng bổ sung nhau — không thay thế nhau.</w:t>
      </w:r>
    </w:p>
    <w:p>
      <w:pPr>
        <w:pBdr>
          <w:bottom w:val="single" w:sz="6" w:space="1" w:color="CCCCCC"/>
        </w:pBdr>
        <w:spacing w:before="0" w:after="40"/>
      </w:pPr>
    </w:p>
    <w:p>
      <w:pPr>
        <w:pStyle w:val="Heading2"/>
      </w:pPr>
      <w:r>
        <w:t>Luồng Đọc và Hành Động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BOD đọc Order SLA Dashboard (đầu tháng)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Phần 1 — Scorecard: Platform XX% ▲/▼  ·  Standard XX% ▲/▼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Phần 2 — Trend: đang tốt lên hay xấu đi?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Tình hình ổn?                   Cần escalate?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│                                │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▼                                ▼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Không cần action            Gửi cho Ops: "Tháng X: [nhóm]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Ghi nhận, theo dõi           drop [Y]pp → cần drill-down"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tháng tới                               │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               ▼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Ops đọc Ops SLA Drilldown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Bước 1 — Xưởng nào chậm?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Bước 2 — Sản phẩm nào ưu tiên?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Bước 3 — Carrier hay sản xuất?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               │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               ▼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Ops báo cáo lại BOD (template)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— Vấn đề ở đâu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— Đang làm gì / timeline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— Cần BOD support gì không                </w:t>
      </w:r>
    </w:p>
    <w:p>
      <w:pPr>
        <w:pBdr>
          <w:bottom w:val="single" w:sz="6" w:space="1" w:color="CCCCCC"/>
        </w:pBdr>
        <w:spacing w:before="0" w:after="40"/>
      </w:pPr>
    </w:p>
    <w:p>
      <w:pPr>
        <w:pStyle w:val="Heading2"/>
      </w:pPr>
      <w:r>
        <w:t>BOD — Khi Nào Escalate?</w:t>
      </w:r>
    </w:p>
    <w:p>
      <w:pPr>
        <w:spacing w:after="40"/>
      </w:pPr>
      <w:r>
        <w:rPr>
          <w:b/>
          <w:i w:val="0"/>
          <w:sz w:val="20"/>
        </w:rPr>
        <w:t>Escalate ngay (tháng này):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</w:tcPr>
          <w:p>
            <w:r>
              <w:rPr>
                <w:b/>
                <w:sz w:val="19"/>
              </w:rPr>
              <w:t>Điều kiện</w:t>
            </w:r>
          </w:p>
        </w:tc>
        <w:tc>
          <w:tcPr>
            <w:tcW w:type="dxa" w:w="4867"/>
          </w:tcPr>
          <w:p>
            <w:r>
              <w:rPr>
                <w:b/>
                <w:sz w:val="19"/>
              </w:rPr>
              <w:t>Ví dụ</w:t>
            </w:r>
          </w:p>
        </w:tc>
      </w:tr>
      <w:tr>
        <w:tc>
          <w:tcPr>
            <w:tcW w:type="dxa" w:w="4867"/>
          </w:tcPr>
          <w:p>
            <w:r>
              <w:rPr>
                <w:sz w:val="19"/>
              </w:rPr>
              <w:t>Bất kỳ nhóm nào &lt; 85%</w:t>
            </w:r>
          </w:p>
        </w:tc>
        <w:tc>
          <w:tcPr>
            <w:tcW w:type="dxa" w:w="4867"/>
          </w:tcPr>
          <w:p>
            <w:r>
              <w:rPr>
                <w:sz w:val="19"/>
              </w:rPr>
              <w:t>Platform 82% tháng này</w:t>
            </w:r>
          </w:p>
        </w:tc>
      </w:tr>
      <w:tr>
        <w:tc>
          <w:tcPr>
            <w:tcW w:type="dxa" w:w="4867"/>
          </w:tcPr>
          <w:p>
            <w:r>
              <w:rPr>
                <w:sz w:val="19"/>
              </w:rPr>
              <w:t>Drop &gt; 10pp vs tháng trước</w:t>
            </w:r>
          </w:p>
        </w:tc>
        <w:tc>
          <w:tcPr>
            <w:tcW w:type="dxa" w:w="4867"/>
          </w:tcPr>
          <w:p>
            <w:r>
              <w:rPr>
                <w:sz w:val="19"/>
              </w:rPr>
              <w:t>Standard 96% → 85%</w:t>
            </w:r>
          </w:p>
        </w:tc>
      </w:tr>
      <w:tr>
        <w:tc>
          <w:tcPr>
            <w:tcW w:type="dxa" w:w="4867"/>
          </w:tcPr>
          <w:p>
            <w:r>
              <w:rPr>
                <w:sz w:val="19"/>
              </w:rPr>
              <w:t>Cả 2 nhóm cùng drop 1 tháng</w:t>
            </w:r>
          </w:p>
        </w:tc>
        <w:tc>
          <w:tcPr>
            <w:tcW w:type="dxa" w:w="4867"/>
          </w:tcPr>
          <w:p>
            <w:r>
              <w:rPr>
                <w:sz w:val="19"/>
              </w:rPr>
              <w:t>Pattern Dec 2025 lặp lại</w:t>
            </w:r>
          </w:p>
        </w:tc>
      </w:tr>
    </w:tbl>
    <w:p/>
    <w:p>
      <w:pPr>
        <w:spacing w:after="40"/>
      </w:pPr>
      <w:r>
        <w:rPr>
          <w:b/>
          <w:i w:val="0"/>
          <w:sz w:val="20"/>
        </w:rPr>
        <w:t>Theo dõi sát (tháng tới):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</w:tcPr>
          <w:p>
            <w:r>
              <w:rPr>
                <w:b/>
                <w:sz w:val="19"/>
              </w:rPr>
              <w:t>Điều kiện</w:t>
            </w:r>
          </w:p>
        </w:tc>
        <w:tc>
          <w:tcPr>
            <w:tcW w:type="dxa" w:w="4867"/>
          </w:tcPr>
          <w:p>
            <w:r>
              <w:rPr>
                <w:b/>
                <w:sz w:val="19"/>
              </w:rPr>
              <w:t>Ví dụ</w:t>
            </w:r>
          </w:p>
        </w:tc>
      </w:tr>
      <w:tr>
        <w:tc>
          <w:tcPr>
            <w:tcW w:type="dxa" w:w="4867"/>
          </w:tcPr>
          <w:p>
            <w:r>
              <w:rPr>
                <w:sz w:val="19"/>
              </w:rPr>
              <w:t>Drop 5–10pp vs tháng trước</w:t>
            </w:r>
          </w:p>
        </w:tc>
        <w:tc>
          <w:tcPr>
            <w:tcW w:type="dxa" w:w="4867"/>
          </w:tcPr>
          <w:p>
            <w:r>
              <w:rPr>
                <w:sz w:val="19"/>
              </w:rPr>
              <w:t>Platform 96% → 91%</w:t>
            </w:r>
          </w:p>
        </w:tc>
      </w:tr>
      <w:tr>
        <w:tc>
          <w:tcPr>
            <w:tcW w:type="dxa" w:w="4867"/>
          </w:tcPr>
          <w:p>
            <w:r>
              <w:rPr>
                <w:sz w:val="19"/>
              </w:rPr>
              <w:t>Trending down 2 tháng liên tiếp</w:t>
            </w:r>
          </w:p>
        </w:tc>
        <w:tc>
          <w:tcPr>
            <w:tcW w:type="dxa" w:w="4867"/>
          </w:tcPr>
          <w:p>
            <w:r>
              <w:rPr>
                <w:sz w:val="19"/>
              </w:rPr>
              <w:t>Standard giảm liên tục</w:t>
            </w:r>
          </w:p>
        </w:tc>
      </w:tr>
      <w:tr>
        <w:tc>
          <w:tcPr>
            <w:tcW w:type="dxa" w:w="4867"/>
          </w:tcPr>
          <w:p>
            <w:r>
              <w:rPr>
                <w:sz w:val="19"/>
              </w:rPr>
              <w:t>Volume tăng mạnh sắp đến</w:t>
            </w:r>
          </w:p>
        </w:tc>
        <w:tc>
          <w:tcPr>
            <w:tcW w:type="dxa" w:w="4867"/>
          </w:tcPr>
          <w:p>
            <w:r>
              <w:rPr>
                <w:sz w:val="19"/>
              </w:rPr>
              <w:t>Tháng cao điểm, Q4</w:t>
            </w:r>
          </w:p>
        </w:tc>
      </w:tr>
    </w:tbl>
    <w:p/>
    <w:p>
      <w:pPr>
        <w:spacing w:after="120"/>
      </w:pPr>
      <w:r>
        <w:rPr>
          <w:b w:val="0"/>
          <w:i w:val="0"/>
          <w:color w:val="27AE60"/>
          <w:sz w:val="20"/>
        </w:rPr>
        <w:t>Không cần action: Cả 2 nhóm ≥ 90% và delta ≥ −3pp so với tháng trước.</w:t>
      </w:r>
    </w:p>
    <w:p>
      <w:pPr>
        <w:pBdr>
          <w:bottom w:val="single" w:sz="6" w:space="1" w:color="CCCCCC"/>
        </w:pBdr>
        <w:spacing w:before="0" w:after="40"/>
      </w:pPr>
    </w:p>
    <w:p>
      <w:pPr>
        <w:pStyle w:val="Heading2"/>
      </w:pPr>
      <w:r>
        <w:t>Lịch Vận Hành Hàng Tháng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</w:tcPr>
          <w:p>
            <w:r>
              <w:rPr>
                <w:b/>
                <w:sz w:val="19"/>
              </w:rPr>
              <w:t>Thời điểm</w:t>
            </w:r>
          </w:p>
        </w:tc>
        <w:tc>
          <w:tcPr>
            <w:tcW w:type="dxa" w:w="3245"/>
          </w:tcPr>
          <w:p>
            <w:r>
              <w:rPr>
                <w:b/>
                <w:sz w:val="19"/>
              </w:rPr>
              <w:t>Ai</w:t>
            </w:r>
          </w:p>
        </w:tc>
        <w:tc>
          <w:tcPr>
            <w:tcW w:type="dxa" w:w="3245"/>
          </w:tcPr>
          <w:p>
            <w:r>
              <w:rPr>
                <w:b/>
                <w:sz w:val="19"/>
              </w:rPr>
              <w:t>Hành động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Ngày 3–5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Data team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Refresh CSV, re-export 2 dashboard + 2 DOCX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Ngày 5–7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BOD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Đọc Order SLA — quyết định escalate hay không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Ngày 7–10 (nếu escalate)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Đọc Ops Drilldown, xác định root cause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Ngày 10–12 (nếu escalate)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Ops → BOD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Gửi Ops Update theo template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Cuối tháng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Ops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Check progress — đúng hướng chưa?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L1 — BOD Dashboard: Order SLA</w:t>
      </w:r>
    </w:p>
    <w:p>
      <w:pPr>
        <w:spacing w:after="120"/>
      </w:pPr>
      <w:r>
        <w:rPr>
          <w:b w:val="0"/>
          <w:i/>
          <w:color w:val="555555"/>
          <w:sz w:val="20"/>
        </w:rPr>
        <w:t>Đọc hàng tháng. Trả lời: Tháng này đạt bao nhiêu? Trend đang đi đâu?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7284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84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  <w:spacing w:before="0" w:after="40"/>
      </w:pPr>
    </w:p>
    <w:p>
      <w:pPr>
        <w:pStyle w:val="Heading2"/>
      </w:pPr>
      <w:r>
        <w:t>Cách đọc nhanh (≤ 30 giây)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</w:tcPr>
          <w:p>
            <w:r>
              <w:rPr>
                <w:b/>
                <w:sz w:val="19"/>
              </w:rPr>
              <w:t>Bước</w:t>
            </w:r>
          </w:p>
        </w:tc>
        <w:tc>
          <w:tcPr>
            <w:tcW w:type="dxa" w:w="3245"/>
          </w:tcPr>
          <w:p>
            <w:r>
              <w:rPr>
                <w:b/>
                <w:sz w:val="19"/>
              </w:rPr>
              <w:t>Nhìn vào</w:t>
            </w:r>
          </w:p>
        </w:tc>
        <w:tc>
          <w:tcPr>
            <w:tcW w:type="dxa" w:w="3245"/>
          </w:tcPr>
          <w:p>
            <w:r>
              <w:rPr>
                <w:b/>
                <w:sz w:val="19"/>
              </w:rPr>
              <w:t>Làm gì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Xem status box (header xanh/vàng)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Nếu xanh → không cần escalate. Nếu vàng → đọc tiếp.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Phần 1 — Scorecard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Hai con số lớn + delta. Đây là số cần quyết định.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Phần 2 — Trend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Dec 2025 là outlier (holiday). Recovery đang diễn ra — đây là bối cảnh bình thường.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Escalate nếu cần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Gửi screenshot + "Tháng X: [nhóm] drop [Y]pp" cho ops team.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L2 — Ops Dashboard: SLA Drilldown</w:t>
      </w:r>
    </w:p>
    <w:p>
      <w:pPr>
        <w:spacing w:after="120"/>
      </w:pPr>
      <w:r>
        <w:rPr>
          <w:b w:val="0"/>
          <w:i/>
          <w:color w:val="555555"/>
          <w:sz w:val="20"/>
        </w:rPr>
        <w:t>Đọc khi được escalate. Trả lời: Xưởng nào? Sản phẩm nào? Carrier hay sản xuất?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7967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6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  <w:spacing w:before="0" w:after="40"/>
      </w:pPr>
    </w:p>
    <w:p>
      <w:pPr>
        <w:pStyle w:val="Heading2"/>
      </w:pPr>
      <w:r>
        <w:t>Cách đọc theo bước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3245"/>
          </w:tcPr>
          <w:p>
            <w:r>
              <w:rPr>
                <w:b/>
                <w:sz w:val="19"/>
              </w:rPr>
              <w:t>Câu hỏi</w:t>
            </w:r>
          </w:p>
        </w:tc>
        <w:tc>
          <w:tcPr>
            <w:tcW w:type="dxa" w:w="3245"/>
          </w:tcPr>
          <w:p>
            <w:r>
              <w:rPr>
                <w:b/>
                <w:sz w:val="19"/>
              </w:rPr>
              <w:t>Làm gì với thông tin đó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Bước 1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Xưởng nào chậm?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So sánh CA vs TX1. CA = HB1+HB2 cùng ops lead. TX1 = chuẩn so sánh. Xác định xưởng cần focus trước.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Bước 2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Sản phẩm nào ưu tiên?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Trong xưởng đó, sản phẩm nào pass rate thấp nhất × volume lớn nhất? Đỏ = cần xử lý, xanh = ổn.</w:t>
            </w:r>
          </w:p>
        </w:tc>
      </w:tr>
      <w:tr>
        <w:tc>
          <w:tcPr>
            <w:tcW w:type="dxa" w:w="3245"/>
          </w:tcPr>
          <w:p>
            <w:r>
              <w:rPr>
                <w:sz w:val="19"/>
              </w:rPr>
              <w:t>Bước 3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Nguyên nhân gì?</w:t>
            </w:r>
          </w:p>
        </w:tc>
        <w:tc>
          <w:tcPr>
            <w:tcW w:type="dxa" w:w="3245"/>
          </w:tcPr>
          <w:p>
            <w:r>
              <w:rPr>
                <w:sz w:val="19"/>
              </w:rPr>
              <w:t>Bar stacked: xanh (carrier) vs cam (sản xuất). Phần nào cao hơn đường SLA = bottleneck. Label "↑ Carrier" hoặc "↑ Sản xuất" hiển thị sẵn.</w:t>
            </w:r>
          </w:p>
        </w:tc>
      </w:tr>
    </w:tbl>
    <w:p>
      <w:pPr>
        <w:pBdr>
          <w:bottom w:val="single" w:sz="6" w:space="1" w:color="CCCCCC"/>
        </w:pBdr>
        <w:spacing w:before="0" w:after="40"/>
      </w:pPr>
    </w:p>
    <w:p>
      <w:pPr>
        <w:pStyle w:val="Heading2"/>
      </w:pPr>
      <w:r>
        <w:t>Template Ops Báo Cáo Lại BOD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Ops SLA Update — Tháng [X/XXXX]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Vấn đề xác định:      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- [Facility]: [Sản phẩm] — pass rate [X]%, nguyên nhân [carrier/sx]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- (thêm nếu có nhiều hơn 1 vấn đề)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Đang xử lý:           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- [Hành động cụ thể]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- [Timeline dự kiến hoàn thành]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Kỳ vọng:              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- Tháng [X+1]: pass rate [facility/sản phẩm] cải thiện lên ~[X]%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- Nếu không cải thiện: cần leo thang về [carrier / ops process]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                    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Cần BOD support:                                          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- [Nếu có: ngân sách đổi carrier, tăng headcount, v.v.]              </w:t>
      </w:r>
    </w:p>
    <w:p>
      <w:pPr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pacing w:before="0" w:after="0"/>
        <w:ind w:left="288"/>
      </w:pPr>
      <w:r>
        <w:rPr>
          <w:rFonts w:ascii="Courier New" w:hAnsi="Courier New"/>
          <w:sz w:val="19"/>
        </w:rPr>
        <w:t xml:space="preserve">  - "Không có gì" nếu ops tự xử lý được                                </w:t>
      </w:r>
    </w:p>
    <w:sectPr w:rsidR="00FC693F" w:rsidRPr="0006063C" w:rsidSect="00034616">
      <w:pgSz w:w="12240" w:h="15840"/>
      <w:pgMar w:top="1138" w:right="1253" w:bottom="1138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