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Báo Cáo SLA Đơn Hàng — Tổng Quan</w:t>
      </w:r>
    </w:p>
    <w:p>
      <w:pPr>
        <w:jc w:val="center"/>
      </w:pPr>
      <w:r>
        <w:rPr>
          <w:color w:val="555555"/>
          <w:sz w:val="20"/>
        </w:rPr>
        <w:t>Platform ≤ 3 biz days  ·  Standard ≤ 4 biz days  ·  Trend 12 tháng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401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0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  <w:spacing w:before="0" w:after="0"/>
      </w:pPr>
    </w:p>
    <w:p/>
    <w:p>
      <w:pPr>
        <w:pStyle w:val="Heading2"/>
      </w:pPr>
      <w:r>
        <w:t>Phần 1 — Tháng Này Như Thế Nào?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</w:tcPr>
          <w:p>
            <w:r>
              <w:rPr>
                <w:b/>
                <w:sz w:val="19"/>
              </w:rPr>
              <w:t>Nhóm</w:t>
            </w:r>
          </w:p>
        </w:tc>
        <w:tc>
          <w:tcPr>
            <w:tcW w:type="dxa" w:w="1884"/>
          </w:tcPr>
          <w:p>
            <w:r>
              <w:rPr>
                <w:b/>
                <w:sz w:val="19"/>
              </w:rPr>
              <w:t>Pass Rate</w:t>
            </w:r>
          </w:p>
        </w:tc>
        <w:tc>
          <w:tcPr>
            <w:tcW w:type="dxa" w:w="1884"/>
          </w:tcPr>
          <w:p>
            <w:r>
              <w:rPr>
                <w:b/>
                <w:sz w:val="19"/>
              </w:rPr>
              <w:t>vs Tháng Trước</w:t>
            </w:r>
          </w:p>
        </w:tc>
        <w:tc>
          <w:tcPr>
            <w:tcW w:type="dxa" w:w="1884"/>
          </w:tcPr>
          <w:p>
            <w:r>
              <w:rPr>
                <w:b/>
                <w:sz w:val="19"/>
              </w:rPr>
              <w:t>Số Đơn</w:t>
            </w:r>
          </w:p>
        </w:tc>
        <w:tc>
          <w:tcPr>
            <w:tcW w:type="dxa" w:w="1884"/>
          </w:tcPr>
          <w:p>
            <w:r>
              <w:rPr>
                <w:b/>
                <w:sz w:val="19"/>
              </w:rPr>
              <w:t>Tình Trạng</w:t>
            </w:r>
          </w:p>
        </w:tc>
      </w:tr>
      <w:tr>
        <w:tc>
          <w:tcPr>
            <w:tcW w:type="dxa" w:w="1884"/>
          </w:tcPr>
          <w:p>
            <w:r>
              <w:rPr>
                <w:sz w:val="19"/>
              </w:rPr>
              <w:t>Platform (Ship by Seller)</w:t>
            </w:r>
          </w:p>
        </w:tc>
        <w:tc>
          <w:tcPr>
            <w:tcW w:type="dxa" w:w="1884"/>
          </w:tcPr>
          <w:p>
            <w:r>
              <w:rPr>
                <w:sz w:val="19"/>
              </w:rPr>
              <w:t>96.4%</w:t>
            </w:r>
          </w:p>
        </w:tc>
        <w:tc>
          <w:tcPr>
            <w:tcW w:type="dxa" w:w="1884"/>
          </w:tcPr>
          <w:p>
            <w:r>
              <w:rPr>
                <w:sz w:val="19"/>
              </w:rPr>
              <w:t>▲ +5.5%</w:t>
            </w:r>
          </w:p>
        </w:tc>
        <w:tc>
          <w:tcPr>
            <w:tcW w:type="dxa" w:w="1884"/>
          </w:tcPr>
          <w:p>
            <w:r>
              <w:rPr>
                <w:sz w:val="19"/>
              </w:rPr>
              <w:t>5,481</w:t>
            </w:r>
          </w:p>
        </w:tc>
        <w:tc>
          <w:tcPr>
            <w:tcW w:type="dxa" w:w="1884"/>
          </w:tcPr>
          <w:p>
            <w:r>
              <w:rPr>
                <w:sz w:val="19"/>
              </w:rPr>
              <w:t>Tốt ✓</w:t>
            </w:r>
          </w:p>
        </w:tc>
      </w:tr>
      <w:tr>
        <w:tc>
          <w:tcPr>
            <w:tcW w:type="dxa" w:w="1884"/>
          </w:tcPr>
          <w:p>
            <w:r>
              <w:rPr>
                <w:sz w:val="19"/>
              </w:rPr>
              <w:t>Standard (Ship by Gearment)</w:t>
            </w:r>
          </w:p>
        </w:tc>
        <w:tc>
          <w:tcPr>
            <w:tcW w:type="dxa" w:w="1884"/>
          </w:tcPr>
          <w:p>
            <w:r>
              <w:rPr>
                <w:sz w:val="19"/>
              </w:rPr>
              <w:t>96.3%</w:t>
            </w:r>
          </w:p>
        </w:tc>
        <w:tc>
          <w:tcPr>
            <w:tcW w:type="dxa" w:w="1884"/>
          </w:tcPr>
          <w:p>
            <w:r>
              <w:rPr>
                <w:sz w:val="19"/>
              </w:rPr>
              <w:t>▲ +2.3%</w:t>
            </w:r>
          </w:p>
        </w:tc>
        <w:tc>
          <w:tcPr>
            <w:tcW w:type="dxa" w:w="1884"/>
          </w:tcPr>
          <w:p>
            <w:r>
              <w:rPr>
                <w:sz w:val="19"/>
              </w:rPr>
              <w:t>2,429</w:t>
            </w:r>
          </w:p>
        </w:tc>
        <w:tc>
          <w:tcPr>
            <w:tcW w:type="dxa" w:w="1884"/>
          </w:tcPr>
          <w:p>
            <w:r>
              <w:rPr>
                <w:sz w:val="19"/>
              </w:rPr>
              <w:t>Tốt ✓</w:t>
            </w:r>
          </w:p>
        </w:tc>
      </w:tr>
    </w:tbl>
    <w:p/>
    <w:p>
      <w:r>
        <w:rPr>
          <w:color w:val="777777"/>
          <w:sz w:val="17"/>
        </w:rPr>
        <w:t>(*) Standard: chỉ tính đơn có tracking data (first_scan IS NOT NULL). ~36% đơn không có tracking — nằm ngoài denominator, không phải SLA fail.</w:t>
      </w:r>
    </w:p>
    <w:p/>
    <w:p>
      <w:pPr>
        <w:pStyle w:val="Heading3"/>
      </w:pPr>
      <w:r>
        <w:t>Action tháng này</w:t>
      </w:r>
    </w:p>
    <w:p>
      <w:r>
        <w:rPr>
          <w:sz w:val="20"/>
        </w:rPr>
        <w:t>Không cần escalate. Cả 2 nhóm đang tăng và đạt mức cao nhất trong data.</w:t>
        <w:br/>
        <w:t>Theo dõi tháng tới — đặc biệt chú ý nếu bất kỳ nhóm nào giảm quá 5pp so với tháng này.</w:t>
        <w:br/>
        <w:br/>
        <w:t>Platform: ~197 đơn không đạt SLA (≈3.6% × 5,481). Nếu cần biết xưởng / sản phẩm nào → xem Ops SLA Drilldown.</w:t>
      </w:r>
    </w:p>
    <w:p>
      <w:pPr>
        <w:pBdr>
          <w:bottom w:val="single" w:sz="6" w:space="1" w:color="CCCCCC"/>
        </w:pBdr>
        <w:spacing w:before="0" w:after="0"/>
      </w:pPr>
    </w:p>
    <w:p/>
    <w:p>
      <w:pPr>
        <w:pStyle w:val="Heading2"/>
      </w:pPr>
      <w:r>
        <w:t>Phần 2 — Xu Hướng Đang Đi Đâu?</w:t>
      </w:r>
    </w:p>
    <w:p>
      <w:r>
        <w:rPr>
          <w:b/>
          <w:sz w:val="20"/>
        </w:rPr>
        <w:t xml:space="preserve">Tình hình tốt: </w:t>
      </w:r>
      <w:r>
        <w:rPr>
          <w:sz w:val="20"/>
        </w:rPr>
        <w:t>Recovery liên tục 3 tháng (Jan–Mar 2026) sau đáy Dec 2025. Cả 2 nhóm đang ở mức cao nhất kể từ khi có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</w:tcPr>
          <w:p>
            <w:r>
              <w:rPr>
                <w:b/>
                <w:sz w:val="19"/>
              </w:rPr>
              <w:t>Giai đoạn</w:t>
            </w:r>
          </w:p>
        </w:tc>
        <w:tc>
          <w:tcPr>
            <w:tcW w:type="dxa" w:w="2354"/>
          </w:tcPr>
          <w:p>
            <w:r>
              <w:rPr>
                <w:b/>
                <w:sz w:val="19"/>
              </w:rPr>
              <w:t>Sự kiện</w:t>
            </w:r>
          </w:p>
        </w:tc>
        <w:tc>
          <w:tcPr>
            <w:tcW w:type="dxa" w:w="2354"/>
          </w:tcPr>
          <w:p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2354"/>
          </w:tcPr>
          <w:p>
            <w:r>
              <w:rPr>
                <w:b/>
                <w:sz w:val="19"/>
              </w:rPr>
              <w:t>Standard</w:t>
            </w:r>
          </w:p>
        </w:tc>
      </w:tr>
      <w:tr>
        <w:tc>
          <w:tcPr>
            <w:tcW w:type="dxa" w:w="2354"/>
          </w:tcPr>
          <w:p>
            <w:r>
              <w:rPr>
                <w:sz w:val="19"/>
              </w:rPr>
              <w:t>Dec 2025</w:t>
            </w:r>
          </w:p>
        </w:tc>
        <w:tc>
          <w:tcPr>
            <w:tcW w:type="dxa" w:w="2354"/>
          </w:tcPr>
          <w:p>
            <w:r>
              <w:rPr>
                <w:sz w:val="19"/>
              </w:rPr>
              <w:t>Holiday peak — overload toàn hệ thống</w:t>
            </w:r>
          </w:p>
        </w:tc>
        <w:tc>
          <w:tcPr>
            <w:tcW w:type="dxa" w:w="2354"/>
          </w:tcPr>
          <w:p>
            <w:r>
              <w:rPr>
                <w:sz w:val="19"/>
              </w:rPr>
              <w:t>41.9% (đáy)</w:t>
            </w:r>
          </w:p>
        </w:tc>
        <w:tc>
          <w:tcPr>
            <w:tcW w:type="dxa" w:w="2354"/>
          </w:tcPr>
          <w:p>
            <w:r>
              <w:rPr>
                <w:sz w:val="19"/>
              </w:rPr>
              <w:t>68.6% (đáy)</w:t>
            </w:r>
          </w:p>
        </w:tc>
      </w:tr>
      <w:tr>
        <w:tc>
          <w:tcPr>
            <w:tcW w:type="dxa" w:w="2354"/>
          </w:tcPr>
          <w:p>
            <w:r>
              <w:rPr>
                <w:sz w:val="19"/>
              </w:rPr>
              <w:t>Jan–Mar 2026</w:t>
            </w:r>
          </w:p>
        </w:tc>
        <w:tc>
          <w:tcPr>
            <w:tcW w:type="dxa" w:w="2354"/>
          </w:tcPr>
          <w:p>
            <w:r>
              <w:rPr>
                <w:sz w:val="19"/>
              </w:rPr>
              <w:t>Recovery rõ ràng</w:t>
            </w:r>
          </w:p>
        </w:tc>
        <w:tc>
          <w:tcPr>
            <w:tcW w:type="dxa" w:w="2354"/>
          </w:tcPr>
          <w:p>
            <w:r>
              <w:rPr>
                <w:sz w:val="19"/>
              </w:rPr>
              <w:t>89% → 91% → 96.4%</w:t>
            </w:r>
          </w:p>
        </w:tc>
        <w:tc>
          <w:tcPr>
            <w:tcW w:type="dxa" w:w="2354"/>
          </w:tcPr>
          <w:p>
            <w:r>
              <w:rPr>
                <w:sz w:val="19"/>
              </w:rPr>
              <w:t>96% → 94% → 96.3%</w:t>
            </w:r>
          </w:p>
        </w:tc>
      </w:tr>
      <w:tr>
        <w:tc>
          <w:tcPr>
            <w:tcW w:type="dxa" w:w="2354"/>
          </w:tcPr>
          <w:p>
            <w:r>
              <w:rPr>
                <w:sz w:val="19"/>
              </w:rPr>
              <w:t>Aug–Oct 2025</w:t>
            </w:r>
          </w:p>
        </w:tc>
        <w:tc>
          <w:tcPr>
            <w:tcW w:type="dxa" w:w="2354"/>
          </w:tcPr>
          <w:p>
            <w:r>
              <w:rPr>
                <w:sz w:val="19"/>
              </w:rPr>
              <w:t>Standard volume thấp bất thường</w:t>
            </w:r>
          </w:p>
        </w:tc>
        <w:tc>
          <w:tcPr>
            <w:tcW w:type="dxa" w:w="235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4"/>
          </w:tcPr>
          <w:p>
            <w:r>
              <w:rPr>
                <w:sz w:val="19"/>
              </w:rPr>
              <w:t>1–2K đơn/tháng (vs bình thường 14–72K)</w:t>
            </w:r>
          </w:p>
        </w:tc>
      </w:tr>
    </w:tbl>
    <w:p/>
    <w:p>
      <w:r>
        <w:rPr>
          <w:b/>
          <w:sz w:val="20"/>
        </w:rPr>
        <w:t>Chuẩn bị Dec 2026: Dec 2025 là outlier rõ nhất trong toàn bộ data. Nên lên kế hoạch ops capacity tăng cường trước ít nhất 1 tháng.</w:t>
      </w:r>
    </w:p>
    <w:p>
      <w:pPr>
        <w:pBdr>
          <w:bottom w:val="single" w:sz="6" w:space="1" w:color="CCCCCC"/>
        </w:pBdr>
        <w:spacing w:before="0" w:after="0"/>
      </w:pPr>
    </w:p>
    <w:p/>
    <w:p>
      <w:pPr>
        <w:pStyle w:val="Heading2"/>
      </w:pPr>
      <w:r>
        <w:t>Câu Hỏi Gợi Ý Cho BOD Review</w:t>
      </w:r>
    </w:p>
    <w:p>
      <w:pPr>
        <w:pStyle w:val="ListNumber"/>
      </w:pPr>
      <w:r/>
      <w:r>
        <w:rPr>
          <w:sz w:val="20"/>
        </w:rPr>
        <w:t>Số liệu có phản ánh đúng thực tế không? Ops team có thể xác nhận Dec 2025 thực sự overload không?</w:t>
      </w:r>
    </w:p>
    <w:p>
      <w:pPr>
        <w:pStyle w:val="ListNumber"/>
      </w:pPr>
      <w:r/>
      <w:r>
        <w:rPr>
          <w:sz w:val="20"/>
        </w:rPr>
        <w:t>Standard volume Aug–Oct 2025 rất thấp (1–2K vs bình thường 14–72K) — có sự kiện gì không?</w:t>
      </w:r>
    </w:p>
    <w:p>
      <w:pPr>
        <w:pStyle w:val="ListNumber"/>
      </w:pPr>
      <w:r/>
      <w:r>
        <w:rPr>
          <w:sz w:val="20"/>
        </w:rPr>
        <w:t>Internal target là bao nhiêu? Hiện chưa có benchmark — team đề xuất target % để đưa vào dashboard?</w:t>
      </w:r>
    </w:p>
    <w:p>
      <w:pPr>
        <w:pStyle w:val="ListNumber"/>
      </w:pPr>
      <w:r/>
      <w:r>
        <w:rPr>
          <w:sz w:val="20"/>
        </w:rPr>
        <w:t>Chuẩn bị Dec 2026: Ops cần plan capacity tăng cường từ bao giờ?</w:t>
      </w:r>
    </w:p>
    <w:p>
      <w:pPr>
        <w:pBdr>
          <w:bottom w:val="single" w:sz="6" w:space="1" w:color="CCCCCC"/>
        </w:pBdr>
        <w:spacing w:before="0" w:after="0"/>
      </w:pPr>
    </w:p>
    <w:p>
      <w:pPr>
        <w:pStyle w:val="Heading2"/>
      </w:pPr>
      <w:r>
        <w:t>Context Kỹ Thuật</w:t>
      </w:r>
    </w:p>
    <w:p>
      <w:pPr>
        <w:pStyle w:val="ListBullet"/>
      </w:pPr>
      <w:r/>
      <w:r>
        <w:rPr>
          <w:color w:val="555555"/>
          <w:sz w:val="18"/>
        </w:rPr>
        <w:t>Data source: gea__silver.fact_order_fulfillment_performance FINAL</w:t>
      </w:r>
    </w:p>
    <w:p>
      <w:pPr>
        <w:pStyle w:val="ListBullet"/>
      </w:pPr>
      <w:r/>
      <w:r>
        <w:rPr>
          <w:color w:val="555555"/>
          <w:sz w:val="18"/>
        </w:rPr>
        <w:t>Platform: is_platform = 1, SLA = floor(processing_day + first_scan_day) ≤ 3 biz days</w:t>
      </w:r>
    </w:p>
    <w:p>
      <w:pPr>
        <w:pStyle w:val="ListBullet"/>
      </w:pPr>
      <w:r/>
      <w:r>
        <w:rPr>
          <w:color w:val="555555"/>
          <w:sz w:val="18"/>
        </w:rPr>
        <w:t>Standard: is_platform = 0, SLA = floor(processing_day + first_scan_day) ≤ 4 biz days</w:t>
      </w:r>
    </w:p>
    <w:p>
      <w:pPr>
        <w:pStyle w:val="ListBullet"/>
      </w:pPr>
      <w:r/>
      <w:r>
        <w:rPr>
          <w:color w:val="555555"/>
          <w:sz w:val="18"/>
        </w:rPr>
        <w:t>TAL = payment → first carrier scan (biz days)</w:t>
      </w:r>
    </w:p>
    <w:p>
      <w:pPr>
        <w:pStyle w:val="ListBullet"/>
      </w:pPr>
      <w:r/>
      <w:r>
        <w:rPr>
          <w:color w:val="555555"/>
          <w:sz w:val="18"/>
        </w:rPr>
        <w:t>Period: 12 tháng gần nhất · Lọc tháng &lt; 30 đơn</w:t>
      </w:r>
    </w:p>
    <w:p>
      <w:pPr>
        <w:pStyle w:val="ListBullet"/>
      </w:pPr>
      <w:r/>
      <w:r>
        <w:rPr>
          <w:color w:val="555555"/>
          <w:sz w:val="18"/>
        </w:rPr>
        <w:t>Platform data available từ Aug 2025 · Standard từ Mar 2025</w:t>
      </w:r>
    </w:p>
    <w:sectPr w:rsidR="00FC693F" w:rsidRPr="0006063C" w:rsidSect="00034616">
      <w:pgSz w:w="12240" w:h="15840"/>
      <w:pgMar w:top="1138" w:right="1411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