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sz w:val="42"/>
        </w:rPr>
        <w:t>SCIENTIFIC ANALYSIS METHODS</w:t>
        <w:br/>
        <w:t>AND IMPLEMENTATION SPECIFICATION</w:t>
      </w:r>
    </w:p>
    <w:p>
      <w:pPr>
        <w:jc w:val="center"/>
      </w:pPr>
      <w:r>
        <w:rPr>
          <w:b/>
          <w:sz w:val="26"/>
        </w:rPr>
        <w:t>Spatial support, temporal change, cross-product observability</w:t>
        <w:br/>
        <w:t>and spatio-temporal concentration of landscape fire in Ghana</w:t>
      </w:r>
    </w:p>
    <w:p>
      <w:pPr>
        <w:spacing w:before="360"/>
        <w:jc w:val="center"/>
      </w:pPr>
      <w:r>
        <w:rPr>
          <w:b/>
        </w:rPr>
        <w:t>Ghana Fire RP1 Analysis - RP1 Analysis v1.1.0</w:t>
        <w:br/>
      </w:r>
      <w:r>
        <w:t>Current final-state scientific methods authority</w:t>
        <w:br/>
        <w:t>28 August 2026</w:t>
      </w:r>
    </w:p>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402"/>
            <w:shd w:fill="D9E2F3"/>
            <w:vAlign w:val="center"/>
            <w:tcMar>
              <w:top w:w="70" w:type="dxa"/>
              <w:start w:w="90" w:type="dxa"/>
              <w:bottom w:w="70" w:type="dxa"/>
              <w:end w:w="90" w:type="dxa"/>
            </w:tcMar>
          </w:tcPr>
          <w:p>
            <w:r>
              <w:rPr>
                <w:b/>
                <w:sz w:val="17"/>
              </w:rPr>
              <w:t>Authority item</w:t>
            </w:r>
          </w:p>
        </w:tc>
        <w:tc>
          <w:tcPr>
            <w:tcW w:type="dxa" w:w="5669"/>
            <w:shd w:fill="D9E2F3"/>
            <w:vAlign w:val="center"/>
            <w:tcMar>
              <w:top w:w="70" w:type="dxa"/>
              <w:start w:w="90" w:type="dxa"/>
              <w:bottom w:w="70" w:type="dxa"/>
              <w:end w:w="90" w:type="dxa"/>
            </w:tcMar>
          </w:tcPr>
          <w:p>
            <w:r>
              <w:rPr>
                <w:b/>
                <w:sz w:val="17"/>
              </w:rPr>
              <w:t>Current value</w:t>
            </w:r>
          </w:p>
        </w:tc>
      </w:tr>
      <w:tr>
        <w:trPr>
          <w:cantSplit/>
        </w:trPr>
        <w:tc>
          <w:tcPr>
            <w:tcW w:type="dxa" w:w="3402"/>
            <w:vAlign w:val="top"/>
            <w:tcMar>
              <w:top w:w="70" w:type="dxa"/>
              <w:start w:w="90" w:type="dxa"/>
              <w:bottom w:w="70" w:type="dxa"/>
              <w:end w:w="90" w:type="dxa"/>
            </w:tcMar>
          </w:tcPr>
          <w:p>
            <w:pPr>
              <w:spacing w:after="0"/>
            </w:pPr>
            <w:r>
              <w:rPr>
                <w:sz w:val="16"/>
              </w:rPr>
              <w:t>Project</w:t>
            </w:r>
          </w:p>
        </w:tc>
        <w:tc>
          <w:tcPr>
            <w:tcW w:type="dxa" w:w="5669"/>
            <w:vAlign w:val="top"/>
            <w:tcMar>
              <w:top w:w="70" w:type="dxa"/>
              <w:start w:w="90" w:type="dxa"/>
              <w:bottom w:w="70" w:type="dxa"/>
              <w:end w:w="90" w:type="dxa"/>
            </w:tcMar>
          </w:tcPr>
          <w:p>
            <w:pPr>
              <w:spacing w:after="0"/>
            </w:pPr>
            <w:r>
              <w:rPr>
                <w:sz w:val="16"/>
              </w:rPr>
              <w:t>Ghana Fire RP1 Analysis</w:t>
            </w:r>
          </w:p>
        </w:tc>
      </w:tr>
      <w:tr>
        <w:trPr>
          <w:cantSplit/>
        </w:trPr>
        <w:tc>
          <w:tcPr>
            <w:tcW w:type="dxa" w:w="3402"/>
            <w:vAlign w:val="top"/>
            <w:tcMar>
              <w:top w:w="70" w:type="dxa"/>
              <w:start w:w="90" w:type="dxa"/>
              <w:bottom w:w="70" w:type="dxa"/>
              <w:end w:w="90" w:type="dxa"/>
            </w:tcMar>
          </w:tcPr>
          <w:p>
            <w:pPr>
              <w:spacing w:after="0"/>
            </w:pPr>
            <w:r>
              <w:rPr>
                <w:sz w:val="16"/>
              </w:rPr>
              <w:t>Software release</w:t>
            </w:r>
          </w:p>
        </w:tc>
        <w:tc>
          <w:tcPr>
            <w:tcW w:type="dxa" w:w="5669"/>
            <w:vAlign w:val="top"/>
            <w:tcMar>
              <w:top w:w="70" w:type="dxa"/>
              <w:start w:w="90" w:type="dxa"/>
              <w:bottom w:w="70" w:type="dxa"/>
              <w:end w:w="90" w:type="dxa"/>
            </w:tcMar>
          </w:tcPr>
          <w:p>
            <w:pPr>
              <w:spacing w:after="0"/>
            </w:pPr>
            <w:r>
              <w:rPr>
                <w:sz w:val="16"/>
              </w:rPr>
              <w:t>RP1 Analysis v1.1.0</w:t>
            </w:r>
          </w:p>
        </w:tc>
      </w:tr>
      <w:tr>
        <w:trPr>
          <w:cantSplit/>
        </w:trPr>
        <w:tc>
          <w:tcPr>
            <w:tcW w:type="dxa" w:w="3402"/>
            <w:vAlign w:val="top"/>
            <w:tcMar>
              <w:top w:w="70" w:type="dxa"/>
              <w:start w:w="90" w:type="dxa"/>
              <w:bottom w:w="70" w:type="dxa"/>
              <w:end w:w="90" w:type="dxa"/>
            </w:tcMar>
          </w:tcPr>
          <w:p>
            <w:pPr>
              <w:spacing w:after="0"/>
            </w:pPr>
            <w:r>
              <w:rPr>
                <w:sz w:val="16"/>
              </w:rPr>
              <w:t>Distribution</w:t>
            </w:r>
          </w:p>
        </w:tc>
        <w:tc>
          <w:tcPr>
            <w:tcW w:type="dxa" w:w="5669"/>
            <w:vAlign w:val="top"/>
            <w:tcMar>
              <w:top w:w="70" w:type="dxa"/>
              <w:start w:w="90" w:type="dxa"/>
              <w:bottom w:w="70" w:type="dxa"/>
              <w:end w:w="90" w:type="dxa"/>
            </w:tcMar>
          </w:tcPr>
          <w:p>
            <w:pPr>
              <w:spacing w:after="0"/>
            </w:pPr>
            <w:r>
              <w:rPr>
                <w:sz w:val="16"/>
              </w:rPr>
              <w:t>rp1-analysis-v1</w:t>
            </w:r>
          </w:p>
        </w:tc>
      </w:tr>
      <w:tr>
        <w:trPr>
          <w:cantSplit/>
        </w:trPr>
        <w:tc>
          <w:tcPr>
            <w:tcW w:type="dxa" w:w="3402"/>
            <w:vAlign w:val="top"/>
            <w:tcMar>
              <w:top w:w="70" w:type="dxa"/>
              <w:start w:w="90" w:type="dxa"/>
              <w:bottom w:w="70" w:type="dxa"/>
              <w:end w:w="90" w:type="dxa"/>
            </w:tcMar>
          </w:tcPr>
          <w:p>
            <w:pPr>
              <w:spacing w:after="0"/>
            </w:pPr>
            <w:r>
              <w:rPr>
                <w:sz w:val="16"/>
              </w:rPr>
              <w:t>Python package</w:t>
            </w:r>
          </w:p>
        </w:tc>
        <w:tc>
          <w:tcPr>
            <w:tcW w:type="dxa" w:w="5669"/>
            <w:vAlign w:val="top"/>
            <w:tcMar>
              <w:top w:w="70" w:type="dxa"/>
              <w:start w:w="90" w:type="dxa"/>
              <w:bottom w:w="70" w:type="dxa"/>
              <w:end w:w="90" w:type="dxa"/>
            </w:tcMar>
          </w:tcPr>
          <w:p>
            <w:pPr>
              <w:spacing w:after="0"/>
            </w:pPr>
            <w:r>
              <w:rPr>
                <w:sz w:val="16"/>
              </w:rPr>
              <w:t>rp1_analysis_v1</w:t>
            </w:r>
          </w:p>
        </w:tc>
      </w:tr>
      <w:tr>
        <w:trPr>
          <w:cantSplit/>
        </w:trPr>
        <w:tc>
          <w:tcPr>
            <w:tcW w:type="dxa" w:w="3402"/>
            <w:vAlign w:val="top"/>
            <w:tcMar>
              <w:top w:w="70" w:type="dxa"/>
              <w:start w:w="90" w:type="dxa"/>
              <w:bottom w:w="70" w:type="dxa"/>
              <w:end w:w="90" w:type="dxa"/>
            </w:tcMar>
          </w:tcPr>
          <w:p>
            <w:pPr>
              <w:spacing w:after="0"/>
            </w:pPr>
            <w:r>
              <w:rPr>
                <w:sz w:val="16"/>
              </w:rPr>
              <w:t>Python</w:t>
            </w:r>
          </w:p>
        </w:tc>
        <w:tc>
          <w:tcPr>
            <w:tcW w:type="dxa" w:w="5669"/>
            <w:vAlign w:val="top"/>
            <w:tcMar>
              <w:top w:w="70" w:type="dxa"/>
              <w:start w:w="90" w:type="dxa"/>
              <w:bottom w:w="70" w:type="dxa"/>
              <w:end w:w="90" w:type="dxa"/>
            </w:tcMar>
          </w:tcPr>
          <w:p>
            <w:pPr>
              <w:spacing w:after="0"/>
            </w:pPr>
            <w:r>
              <w:rPr>
                <w:sz w:val="16"/>
              </w:rPr>
              <w:t>&gt;=3.13,&lt;3.14</w:t>
            </w:r>
          </w:p>
        </w:tc>
      </w:tr>
      <w:tr>
        <w:trPr>
          <w:cantSplit/>
        </w:trPr>
        <w:tc>
          <w:tcPr>
            <w:tcW w:type="dxa" w:w="3402"/>
            <w:vAlign w:val="top"/>
            <w:tcMar>
              <w:top w:w="70" w:type="dxa"/>
              <w:start w:w="90" w:type="dxa"/>
              <w:bottom w:w="70" w:type="dxa"/>
              <w:end w:w="90" w:type="dxa"/>
            </w:tcMar>
          </w:tcPr>
          <w:p>
            <w:pPr>
              <w:spacing w:after="0"/>
            </w:pPr>
            <w:r>
              <w:rPr>
                <w:sz w:val="16"/>
              </w:rPr>
              <w:t>Analysis schema</w:t>
            </w:r>
          </w:p>
        </w:tc>
        <w:tc>
          <w:tcPr>
            <w:tcW w:type="dxa" w:w="5669"/>
            <w:vAlign w:val="top"/>
            <w:tcMar>
              <w:top w:w="70" w:type="dxa"/>
              <w:start w:w="90" w:type="dxa"/>
              <w:bottom w:w="70" w:type="dxa"/>
              <w:end w:w="90" w:type="dxa"/>
            </w:tcMar>
          </w:tcPr>
          <w:p>
            <w:pPr>
              <w:spacing w:after="0"/>
            </w:pPr>
            <w:r>
              <w:rPr>
                <w:sz w:val="16"/>
              </w:rPr>
              <w:t>rp1-analysis-v1.1</w:t>
            </w:r>
          </w:p>
        </w:tc>
      </w:tr>
      <w:tr>
        <w:trPr>
          <w:cantSplit/>
        </w:trPr>
        <w:tc>
          <w:tcPr>
            <w:tcW w:type="dxa" w:w="3402"/>
            <w:vAlign w:val="top"/>
            <w:tcMar>
              <w:top w:w="70" w:type="dxa"/>
              <w:start w:w="90" w:type="dxa"/>
              <w:bottom w:w="70" w:type="dxa"/>
              <w:end w:w="90" w:type="dxa"/>
            </w:tcMar>
          </w:tcPr>
          <w:p>
            <w:pPr>
              <w:spacing w:after="0"/>
            </w:pPr>
            <w:r>
              <w:rPr>
                <w:sz w:val="16"/>
              </w:rPr>
              <w:t>Data schema</w:t>
            </w:r>
          </w:p>
        </w:tc>
        <w:tc>
          <w:tcPr>
            <w:tcW w:type="dxa" w:w="5669"/>
            <w:vAlign w:val="top"/>
            <w:tcMar>
              <w:top w:w="70" w:type="dxa"/>
              <w:start w:w="90" w:type="dxa"/>
              <w:bottom w:w="70" w:type="dxa"/>
              <w:end w:w="90" w:type="dxa"/>
            </w:tcMar>
          </w:tcPr>
          <w:p>
            <w:pPr>
              <w:spacing w:after="0"/>
            </w:pPr>
            <w:r>
              <w:rPr>
                <w:sz w:val="16"/>
              </w:rPr>
              <w:t>rp1-data-schema-v1.1</w:t>
            </w:r>
          </w:p>
        </w:tc>
      </w:tr>
      <w:tr>
        <w:trPr>
          <w:cantSplit/>
        </w:trPr>
        <w:tc>
          <w:tcPr>
            <w:tcW w:type="dxa" w:w="3402"/>
            <w:vAlign w:val="top"/>
            <w:tcMar>
              <w:top w:w="70" w:type="dxa"/>
              <w:start w:w="90" w:type="dxa"/>
              <w:bottom w:w="70" w:type="dxa"/>
              <w:end w:w="90" w:type="dxa"/>
            </w:tcMar>
          </w:tcPr>
          <w:p>
            <w:pPr>
              <w:spacing w:after="0"/>
            </w:pPr>
            <w:r>
              <w:rPr>
                <w:sz w:val="16"/>
              </w:rPr>
              <w:t>Canonical notebook</w:t>
            </w:r>
          </w:p>
        </w:tc>
        <w:tc>
          <w:tcPr>
            <w:tcW w:type="dxa" w:w="5669"/>
            <w:vAlign w:val="top"/>
            <w:tcMar>
              <w:top w:w="70" w:type="dxa"/>
              <w:start w:w="90" w:type="dxa"/>
              <w:bottom w:w="70" w:type="dxa"/>
              <w:end w:w="90" w:type="dxa"/>
            </w:tcMar>
          </w:tcPr>
          <w:p>
            <w:pPr>
              <w:spacing w:after="0"/>
            </w:pPr>
            <w:r>
              <w:rPr>
                <w:sz w:val="16"/>
              </w:rPr>
              <w:t>RP1_Analysis_v1.ipynb</w:t>
            </w:r>
          </w:p>
        </w:tc>
      </w:tr>
      <w:tr>
        <w:trPr>
          <w:cantSplit/>
        </w:trPr>
        <w:tc>
          <w:tcPr>
            <w:tcW w:type="dxa" w:w="3402"/>
            <w:vAlign w:val="top"/>
            <w:tcMar>
              <w:top w:w="70" w:type="dxa"/>
              <w:start w:w="90" w:type="dxa"/>
              <w:bottom w:w="70" w:type="dxa"/>
              <w:end w:w="90" w:type="dxa"/>
            </w:tcMar>
          </w:tcPr>
          <w:p>
            <w:pPr>
              <w:spacing w:after="0"/>
            </w:pPr>
            <w:r>
              <w:rPr>
                <w:sz w:val="16"/>
              </w:rPr>
              <w:t>Canonical environment</w:t>
            </w:r>
          </w:p>
        </w:tc>
        <w:tc>
          <w:tcPr>
            <w:tcW w:type="dxa" w:w="5669"/>
            <w:vAlign w:val="top"/>
            <w:tcMar>
              <w:top w:w="70" w:type="dxa"/>
              <w:start w:w="90" w:type="dxa"/>
              <w:bottom w:w="70" w:type="dxa"/>
              <w:end w:w="90" w:type="dxa"/>
            </w:tcMar>
          </w:tcPr>
          <w:p>
            <w:pPr>
              <w:spacing w:after="0"/>
            </w:pPr>
            <w:r>
              <w:rPr>
                <w:sz w:val="16"/>
              </w:rPr>
              <w:t>rp_ghana_fire</w:t>
            </w:r>
          </w:p>
        </w:tc>
      </w:tr>
      <w:tr>
        <w:trPr>
          <w:cantSplit/>
        </w:trPr>
        <w:tc>
          <w:tcPr>
            <w:tcW w:type="dxa" w:w="3402"/>
            <w:vAlign w:val="top"/>
            <w:tcMar>
              <w:top w:w="70" w:type="dxa"/>
              <w:start w:w="90" w:type="dxa"/>
              <w:bottom w:w="70" w:type="dxa"/>
              <w:end w:w="90" w:type="dxa"/>
            </w:tcMar>
          </w:tcPr>
          <w:p>
            <w:pPr>
              <w:spacing w:after="0"/>
            </w:pPr>
            <w:r>
              <w:rPr>
                <w:sz w:val="16"/>
              </w:rPr>
              <w:t>External cluster engine</w:t>
            </w:r>
          </w:p>
        </w:tc>
        <w:tc>
          <w:tcPr>
            <w:tcW w:type="dxa" w:w="5669"/>
            <w:vAlign w:val="top"/>
            <w:tcMar>
              <w:top w:w="70" w:type="dxa"/>
              <w:start w:w="90" w:type="dxa"/>
              <w:bottom w:w="70" w:type="dxa"/>
              <w:end w:w="90" w:type="dxa"/>
            </w:tcMar>
          </w:tcPr>
          <w:p>
            <w:pPr>
              <w:spacing w:after="0"/>
            </w:pPr>
            <w:r>
              <w:rPr>
                <w:sz w:val="16"/>
              </w:rPr>
              <w:t>SaTScan 10.3.3</w:t>
            </w:r>
          </w:p>
        </w:tc>
      </w:tr>
      <w:tr>
        <w:trPr>
          <w:cantSplit/>
        </w:trPr>
        <w:tc>
          <w:tcPr>
            <w:tcW w:type="dxa" w:w="3402"/>
            <w:vAlign w:val="top"/>
            <w:tcMar>
              <w:top w:w="70" w:type="dxa"/>
              <w:start w:w="90" w:type="dxa"/>
              <w:bottom w:w="70" w:type="dxa"/>
              <w:end w:w="90" w:type="dxa"/>
            </w:tcMar>
          </w:tcPr>
          <w:p>
            <w:pPr>
              <w:spacing w:after="0"/>
            </w:pPr>
            <w:r>
              <w:rPr>
                <w:sz w:val="16"/>
              </w:rPr>
              <w:t>Scientific method change</w:t>
            </w:r>
          </w:p>
        </w:tc>
        <w:tc>
          <w:tcPr>
            <w:tcW w:type="dxa" w:w="5669"/>
            <w:vAlign w:val="top"/>
            <w:tcMar>
              <w:top w:w="70" w:type="dxa"/>
              <w:start w:w="90" w:type="dxa"/>
              <w:bottom w:w="70" w:type="dxa"/>
              <w:end w:w="90" w:type="dxa"/>
            </w:tcMar>
          </w:tcPr>
          <w:p>
            <w:pPr>
              <w:spacing w:after="0"/>
            </w:pPr>
            <w:r>
              <w:rPr>
                <w:sz w:val="16"/>
              </w:rPr>
              <w:t>NONE</w:t>
            </w:r>
          </w:p>
        </w:tc>
      </w:tr>
    </w:tbl>
    <w:p>
      <w:pPr>
        <w:spacing w:before="240"/>
      </w:pPr>
      <w:r>
        <w:rPr>
          <w:b/>
        </w:rPr>
        <w:t xml:space="preserve">Document authority. </w:t>
      </w:r>
      <w:r>
        <w:t>This document describes the current executable product. Scientific intent is expressed here and in the machine-readable contracts; config/analysis_contract.yml is the sole executable owner of study-specific analysis choices. Generic Python implements qualified algorithms and structural validation rather than a competing Ghana-specific study design.</w:t>
      </w:r>
    </w:p>
    <w:p>
      <w:r>
        <w:rPr>
          <w:b/>
        </w:rPr>
        <w:t>Scientific method change: NONE.</w:t>
      </w:r>
    </w:p>
    <w:p>
      <w:r>
        <w:br w:type="page"/>
      </w:r>
    </w:p>
    <w:p>
      <w:pPr>
        <w:pStyle w:val="Heading1"/>
      </w:pPr>
      <w:r>
        <w:t>Contents</w:t>
      </w:r>
    </w:p>
    <w:p>
      <w:r>
        <w:t>1. Purpose, scope and authority</w:t>
      </w:r>
    </w:p>
    <w:p>
      <w:r>
        <w:t>2. Scientific questions</w:t>
      </w:r>
    </w:p>
    <w:p>
      <w:r>
        <w:t>3. Data authority, product semantics and analytical populations</w:t>
      </w:r>
    </w:p>
    <w:p>
      <w:r>
        <w:t>4. General analytical and governance principles</w:t>
      </w:r>
    </w:p>
    <w:p>
      <w:r>
        <w:t>5. RQ1 - spatial support, heterogeneity, seasonality and spatial organisation</w:t>
      </w:r>
    </w:p>
    <w:p>
      <w:r>
        <w:t>6. RQ2 - monotonic annual burned-area-rate change under serial dependence</w:t>
      </w:r>
    </w:p>
    <w:p>
      <w:r>
        <w:t>7. RQ3 - observation-system correspondence in VIIRS-positive district-months</w:t>
      </w:r>
    </w:p>
    <w:p>
      <w:r>
        <w:t>8. Secondary analysis - retrospective SaTScan concentration</w:t>
      </w:r>
    </w:p>
    <w:p>
      <w:r>
        <w:t>9. Software implementation and execution workflow</w:t>
      </w:r>
    </w:p>
    <w:p>
      <w:r>
        <w:t>10. Publication outputs</w:t>
      </w:r>
    </w:p>
    <w:p>
      <w:r>
        <w:t>11. Reproducibility and qualification requirements</w:t>
      </w:r>
    </w:p>
    <w:p>
      <w:r>
        <w:t>12. Interpretation boundaries</w:t>
      </w:r>
    </w:p>
    <w:p>
      <w:r>
        <w:t>13. Reference-method scope and parameter provenance</w:t>
      </w:r>
    </w:p>
    <w:p>
      <w:r>
        <w:t>14. References</w:t>
      </w:r>
    </w:p>
    <w:p>
      <w:r>
        <w:t>Appendix A. Fixed parameter register</w:t>
      </w:r>
    </w:p>
    <w:p>
      <w:r>
        <w:t>Appendix B. Executable authority hashes</w:t>
      </w:r>
    </w:p>
    <w:p>
      <w:pPr>
        <w:pStyle w:val="Heading1"/>
      </w:pPr>
      <w:r>
        <w:t>1. Purpose, scope and authority</w:t>
      </w:r>
    </w:p>
    <w:p>
      <w:r>
        <w:t>The analysis is observational. It characterises remotely observed fire-regime structure and observation-system correspondence across Ghana without estimating causal effects of climate, land use, management, ignition source or other drivers. The product separates MCD64A1 mapped burned-surface evidence from VIIRS thermal-detection evidence and does not treat either satellite product as ground truth for the other.</w:t>
      </w:r>
    </w:p>
    <w:p>
      <w:r>
        <w:t>Authority chain: this methods specification states the current scientific design; config/analysis_contract.yml is its executable study-specific projection; config/data_schema_contract.yml defines data and geometry semantics; config/method_authorities.yml identifies qualified method implementations and parameter provenance; config/output_contract.yml and config/figure_contract.yml define publication outputs and rendering. Scientific run metadata are immutable snapshots and are not rewritten when a current documentation authority is rematerialised without a scientific-method change.</w:t>
      </w:r>
    </w:p>
    <w:p>
      <w:pPr>
        <w:pStyle w:val="Heading1"/>
      </w:pPr>
      <w:r>
        <w:t>2. Scientific questions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361"/>
            <w:shd w:fill="D9E2F3"/>
            <w:vAlign w:val="center"/>
            <w:tcMar>
              <w:top w:w="70" w:type="dxa"/>
              <w:start w:w="90" w:type="dxa"/>
              <w:bottom w:w="70" w:type="dxa"/>
              <w:end w:w="90" w:type="dxa"/>
            </w:tcMar>
          </w:tcPr>
          <w:p>
            <w:r>
              <w:rPr>
                <w:b/>
                <w:sz w:val="17"/>
              </w:rPr>
              <w:t>Component</w:t>
            </w:r>
          </w:p>
        </w:tc>
        <w:tc>
          <w:tcPr>
            <w:tcW w:type="dxa" w:w="4706"/>
            <w:shd w:fill="D9E2F3"/>
            <w:vAlign w:val="center"/>
            <w:tcMar>
              <w:top w:w="70" w:type="dxa"/>
              <w:start w:w="90" w:type="dxa"/>
              <w:bottom w:w="70" w:type="dxa"/>
              <w:end w:w="90" w:type="dxa"/>
            </w:tcMar>
          </w:tcPr>
          <w:p>
            <w:r>
              <w:rPr>
                <w:b/>
                <w:sz w:val="17"/>
              </w:rPr>
              <w:t>Question</w:t>
            </w:r>
          </w:p>
        </w:tc>
        <w:tc>
          <w:tcPr>
            <w:tcW w:type="dxa" w:w="3061"/>
            <w:shd w:fill="D9E2F3"/>
            <w:vAlign w:val="center"/>
            <w:tcMar>
              <w:top w:w="70" w:type="dxa"/>
              <w:start w:w="90" w:type="dxa"/>
              <w:bottom w:w="70" w:type="dxa"/>
              <w:end w:w="90" w:type="dxa"/>
            </w:tcMar>
          </w:tcPr>
          <w:p>
            <w:r>
              <w:rPr>
                <w:b/>
                <w:sz w:val="17"/>
              </w:rPr>
              <w:t>Primary observational target</w:t>
            </w:r>
          </w:p>
        </w:tc>
      </w:tr>
      <w:tr>
        <w:trPr>
          <w:cantSplit/>
        </w:trPr>
        <w:tc>
          <w:tcPr>
            <w:tcW w:type="dxa" w:w="1361"/>
            <w:vAlign w:val="top"/>
            <w:tcMar>
              <w:top w:w="70" w:type="dxa"/>
              <w:start w:w="90" w:type="dxa"/>
              <w:bottom w:w="70" w:type="dxa"/>
              <w:end w:w="90" w:type="dxa"/>
            </w:tcMar>
          </w:tcPr>
          <w:p>
            <w:pPr>
              <w:spacing w:after="0"/>
            </w:pPr>
            <w:r>
              <w:rPr>
                <w:sz w:val="16"/>
              </w:rPr>
              <w:t>RQ1</w:t>
            </w:r>
          </w:p>
        </w:tc>
        <w:tc>
          <w:tcPr>
            <w:tcW w:type="dxa" w:w="4706"/>
            <w:vAlign w:val="top"/>
            <w:tcMar>
              <w:top w:w="70" w:type="dxa"/>
              <w:start w:w="90" w:type="dxa"/>
              <w:bottom w:w="70" w:type="dxa"/>
              <w:end w:w="90" w:type="dxa"/>
            </w:tcMar>
          </w:tcPr>
          <w:p>
            <w:pPr>
              <w:spacing w:after="0"/>
            </w:pPr>
            <w:r>
              <w:rPr>
                <w:sz w:val="16"/>
              </w:rPr>
              <w:t>How do magnitude, spatial heterogeneity, seasonal timing and spatial organisation of mapped burned area compare between Ghana agro-climatic-zone and district supports during 2001-2024?</w:t>
            </w:r>
          </w:p>
        </w:tc>
        <w:tc>
          <w:tcPr>
            <w:tcW w:type="dxa" w:w="3061"/>
            <w:vAlign w:val="top"/>
            <w:tcMar>
              <w:top w:w="70" w:type="dxa"/>
              <w:start w:w="90" w:type="dxa"/>
              <w:bottom w:w="70" w:type="dxa"/>
              <w:end w:w="90" w:type="dxa"/>
            </w:tcMar>
          </w:tcPr>
          <w:p>
            <w:pPr>
              <w:spacing w:after="0"/>
            </w:pPr>
            <w:r>
              <w:rPr>
                <w:sz w:val="16"/>
              </w:rPr>
              <w:t>MCD64A1 mapped burned area at direct ACZ and district supports.</w:t>
            </w:r>
          </w:p>
        </w:tc>
      </w:tr>
      <w:tr>
        <w:trPr>
          <w:cantSplit/>
        </w:trPr>
        <w:tc>
          <w:tcPr>
            <w:tcW w:type="dxa" w:w="1361"/>
            <w:vAlign w:val="top"/>
            <w:tcMar>
              <w:top w:w="70" w:type="dxa"/>
              <w:start w:w="90" w:type="dxa"/>
              <w:bottom w:w="70" w:type="dxa"/>
              <w:end w:w="90" w:type="dxa"/>
            </w:tcMar>
          </w:tcPr>
          <w:p>
            <w:pPr>
              <w:spacing w:after="0"/>
            </w:pPr>
            <w:r>
              <w:rPr>
                <w:sz w:val="16"/>
              </w:rPr>
              <w:t>RQ2</w:t>
            </w:r>
          </w:p>
        </w:tc>
        <w:tc>
          <w:tcPr>
            <w:tcW w:type="dxa" w:w="4706"/>
            <w:vAlign w:val="top"/>
            <w:tcMar>
              <w:top w:w="70" w:type="dxa"/>
              <w:start w:w="90" w:type="dxa"/>
              <w:bottom w:w="70" w:type="dxa"/>
              <w:end w:w="90" w:type="dxa"/>
            </w:tcMar>
          </w:tcPr>
          <w:p>
            <w:pPr>
              <w:spacing w:after="0"/>
            </w:pPr>
            <w:r>
              <w:rPr>
                <w:sz w:val="16"/>
              </w:rPr>
              <w:t>What are the direction, magnitude and inferential support for monotonic change in annual mapped burned-area rate across five ACZs during 2001-2024?</w:t>
            </w:r>
          </w:p>
        </w:tc>
        <w:tc>
          <w:tcPr>
            <w:tcW w:type="dxa" w:w="3061"/>
            <w:vAlign w:val="top"/>
            <w:tcMar>
              <w:top w:w="70" w:type="dxa"/>
              <w:start w:w="90" w:type="dxa"/>
              <w:bottom w:w="70" w:type="dxa"/>
              <w:end w:w="90" w:type="dxa"/>
            </w:tcMar>
          </w:tcPr>
          <w:p>
            <w:pPr>
              <w:spacing w:after="0"/>
            </w:pPr>
            <w:r>
              <w:rPr>
                <w:sz w:val="16"/>
              </w:rPr>
              <w:t>Five annual ACZ MCD64A1 fixed-support rate series.</w:t>
            </w:r>
          </w:p>
        </w:tc>
      </w:tr>
      <w:tr>
        <w:trPr>
          <w:cantSplit/>
        </w:trPr>
        <w:tc>
          <w:tcPr>
            <w:tcW w:type="dxa" w:w="1361"/>
            <w:vAlign w:val="top"/>
            <w:tcMar>
              <w:top w:w="70" w:type="dxa"/>
              <w:start w:w="90" w:type="dxa"/>
              <w:bottom w:w="70" w:type="dxa"/>
              <w:end w:w="90" w:type="dxa"/>
            </w:tcMar>
          </w:tcPr>
          <w:p>
            <w:pPr>
              <w:spacing w:after="0"/>
            </w:pPr>
            <w:r>
              <w:rPr>
                <w:sz w:val="16"/>
              </w:rPr>
              <w:t>RQ3</w:t>
            </w:r>
          </w:p>
        </w:tc>
        <w:tc>
          <w:tcPr>
            <w:tcW w:type="dxa" w:w="4706"/>
            <w:vAlign w:val="top"/>
            <w:tcMar>
              <w:top w:w="70" w:type="dxa"/>
              <w:start w:w="90" w:type="dxa"/>
              <w:bottom w:w="70" w:type="dxa"/>
              <w:end w:w="90" w:type="dxa"/>
            </w:tcMar>
          </w:tcPr>
          <w:p>
            <w:pPr>
              <w:spacing w:after="0"/>
            </w:pPr>
            <w:r>
              <w:rPr>
                <w:sz w:val="16"/>
              </w:rPr>
              <w:t>Among VIIRS-positive district-months, which observed thermal-detection characteristics are associated with absence of corresponding MCD64A1 mapped burned area?</w:t>
            </w:r>
          </w:p>
        </w:tc>
        <w:tc>
          <w:tcPr>
            <w:tcW w:type="dxa" w:w="3061"/>
            <w:vAlign w:val="top"/>
            <w:tcMar>
              <w:top w:w="70" w:type="dxa"/>
              <w:start w:w="90" w:type="dxa"/>
              <w:bottom w:w="70" w:type="dxa"/>
              <w:end w:w="90" w:type="dxa"/>
            </w:tcMar>
          </w:tcPr>
          <w:p>
            <w:pPr>
              <w:spacing w:after="0"/>
            </w:pPr>
            <w:r>
              <w:rPr>
                <w:sz w:val="16"/>
              </w:rPr>
              <w:t>Paired VIIRS/MCD64A1 district-month observations.</w:t>
            </w:r>
          </w:p>
        </w:tc>
      </w:tr>
      <w:tr>
        <w:trPr>
          <w:cantSplit/>
        </w:trPr>
        <w:tc>
          <w:tcPr>
            <w:tcW w:type="dxa" w:w="1361"/>
            <w:vAlign w:val="top"/>
            <w:tcMar>
              <w:top w:w="70" w:type="dxa"/>
              <w:start w:w="90" w:type="dxa"/>
              <w:bottom w:w="70" w:type="dxa"/>
              <w:end w:w="90" w:type="dxa"/>
            </w:tcMar>
          </w:tcPr>
          <w:p>
            <w:pPr>
              <w:spacing w:after="0"/>
            </w:pPr>
            <w:r>
              <w:rPr>
                <w:sz w:val="16"/>
              </w:rPr>
              <w:t>Secondary</w:t>
            </w:r>
          </w:p>
        </w:tc>
        <w:tc>
          <w:tcPr>
            <w:tcW w:type="dxa" w:w="4706"/>
            <w:vAlign w:val="top"/>
            <w:tcMar>
              <w:top w:w="70" w:type="dxa"/>
              <w:start w:w="90" w:type="dxa"/>
              <w:bottom w:w="70" w:type="dxa"/>
              <w:end w:w="90" w:type="dxa"/>
            </w:tcMar>
          </w:tcPr>
          <w:p>
            <w:pPr>
              <w:spacing w:after="0"/>
            </w:pPr>
            <w:r>
              <w:rPr>
                <w:sz w:val="16"/>
              </w:rPr>
              <w:t>Where and when do mapped burned-surface events and VIIRS detections form statistically unusual district-level space-time concentrations?</w:t>
            </w:r>
          </w:p>
        </w:tc>
        <w:tc>
          <w:tcPr>
            <w:tcW w:type="dxa" w:w="3061"/>
            <w:vAlign w:val="top"/>
            <w:tcMar>
              <w:top w:w="70" w:type="dxa"/>
              <w:start w:w="90" w:type="dxa"/>
              <w:bottom w:w="70" w:type="dxa"/>
              <w:end w:w="90" w:type="dxa"/>
            </w:tcMar>
          </w:tcPr>
          <w:p>
            <w:pPr>
              <w:spacing w:after="0"/>
            </w:pPr>
            <w:r>
              <w:rPr>
                <w:sz w:val="16"/>
              </w:rPr>
              <w:t>Product-appropriate retrospective SaTScan models.</w:t>
            </w:r>
          </w:p>
        </w:tc>
      </w:tr>
    </w:tbl>
    <w:p>
      <w:pPr>
        <w:pStyle w:val="Heading1"/>
      </w:pPr>
      <w:r>
        <w:t>3. Data authority, product semantics and analytical populations</w:t>
      </w:r>
    </w:p>
    <w:p>
      <w:r>
        <w:t>Runtime analysis uses only staged, hash-qualified consolidated panels and governed geometries shipped with the analysis subproject. Structural missingness and observed zeroes remain distinct. The canonical monthly spine is January 2001 through December 2024; paired VIIRS/MCD64A1 support begins in February 2012.</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814"/>
            <w:shd w:fill="D9E2F3"/>
            <w:vAlign w:val="center"/>
            <w:tcMar>
              <w:top w:w="70" w:type="dxa"/>
              <w:start w:w="90" w:type="dxa"/>
              <w:bottom w:w="70" w:type="dxa"/>
              <w:end w:w="90" w:type="dxa"/>
            </w:tcMar>
          </w:tcPr>
          <w:p>
            <w:r>
              <w:rPr>
                <w:b/>
                <w:sz w:val="17"/>
              </w:rPr>
              <w:t>Analytical population</w:t>
            </w:r>
          </w:p>
        </w:tc>
        <w:tc>
          <w:tcPr>
            <w:tcW w:type="dxa" w:w="1134"/>
            <w:shd w:fill="D9E2F3"/>
            <w:vAlign w:val="center"/>
            <w:tcMar>
              <w:top w:w="70" w:type="dxa"/>
              <w:start w:w="90" w:type="dxa"/>
              <w:bottom w:w="70" w:type="dxa"/>
              <w:end w:w="90" w:type="dxa"/>
            </w:tcMar>
          </w:tcPr>
          <w:p>
            <w:r>
              <w:rPr>
                <w:b/>
                <w:sz w:val="17"/>
              </w:rPr>
              <w:t>Rows</w:t>
            </w:r>
          </w:p>
        </w:tc>
        <w:tc>
          <w:tcPr>
            <w:tcW w:type="dxa" w:w="850"/>
            <w:shd w:fill="D9E2F3"/>
            <w:vAlign w:val="center"/>
            <w:tcMar>
              <w:top w:w="70" w:type="dxa"/>
              <w:start w:w="90" w:type="dxa"/>
              <w:bottom w:w="70" w:type="dxa"/>
              <w:end w:w="90" w:type="dxa"/>
            </w:tcMar>
          </w:tcPr>
          <w:p>
            <w:r>
              <w:rPr>
                <w:b/>
                <w:sz w:val="17"/>
              </w:rPr>
              <w:t>Units</w:t>
            </w:r>
          </w:p>
        </w:tc>
        <w:tc>
          <w:tcPr>
            <w:tcW w:type="dxa" w:w="2041"/>
            <w:shd w:fill="D9E2F3"/>
            <w:vAlign w:val="center"/>
            <w:tcMar>
              <w:top w:w="70" w:type="dxa"/>
              <w:start w:w="90" w:type="dxa"/>
              <w:bottom w:w="70" w:type="dxa"/>
              <w:end w:w="90" w:type="dxa"/>
            </w:tcMar>
          </w:tcPr>
          <w:p>
            <w:r>
              <w:rPr>
                <w:b/>
                <w:sz w:val="17"/>
              </w:rPr>
              <w:t>Window</w:t>
            </w:r>
          </w:p>
        </w:tc>
        <w:tc>
          <w:tcPr>
            <w:tcW w:type="dxa" w:w="3458"/>
            <w:shd w:fill="D9E2F3"/>
            <w:vAlign w:val="center"/>
            <w:tcMar>
              <w:top w:w="70" w:type="dxa"/>
              <w:start w:w="90" w:type="dxa"/>
              <w:bottom w:w="70" w:type="dxa"/>
              <w:end w:w="90" w:type="dxa"/>
            </w:tcMar>
          </w:tcPr>
          <w:p>
            <w:r>
              <w:rPr>
                <w:b/>
                <w:sz w:val="17"/>
              </w:rPr>
              <w:t>Eligibility</w:t>
            </w:r>
          </w:p>
        </w:tc>
      </w:tr>
      <w:tr>
        <w:trPr>
          <w:cantSplit/>
        </w:trPr>
        <w:tc>
          <w:tcPr>
            <w:tcW w:type="dxa" w:w="1814"/>
            <w:vAlign w:val="top"/>
            <w:tcMar>
              <w:top w:w="70" w:type="dxa"/>
              <w:start w:w="90" w:type="dxa"/>
              <w:bottom w:w="70" w:type="dxa"/>
              <w:end w:w="90" w:type="dxa"/>
            </w:tcMar>
          </w:tcPr>
          <w:p>
            <w:pPr>
              <w:spacing w:after="0"/>
            </w:pPr>
            <w:r>
              <w:rPr>
                <w:sz w:val="16"/>
              </w:rPr>
              <w:t>ACZ monthly</w:t>
            </w:r>
          </w:p>
        </w:tc>
        <w:tc>
          <w:tcPr>
            <w:tcW w:type="dxa" w:w="1134"/>
            <w:vAlign w:val="top"/>
            <w:tcMar>
              <w:top w:w="70" w:type="dxa"/>
              <w:start w:w="90" w:type="dxa"/>
              <w:bottom w:w="70" w:type="dxa"/>
              <w:end w:w="90" w:type="dxa"/>
            </w:tcMar>
          </w:tcPr>
          <w:p>
            <w:pPr>
              <w:spacing w:after="0"/>
            </w:pPr>
            <w:r>
              <w:rPr>
                <w:sz w:val="16"/>
              </w:rPr>
              <w:t>1,440</w:t>
            </w:r>
          </w:p>
        </w:tc>
        <w:tc>
          <w:tcPr>
            <w:tcW w:type="dxa" w:w="850"/>
            <w:vAlign w:val="top"/>
            <w:tcMar>
              <w:top w:w="70" w:type="dxa"/>
              <w:start w:w="90" w:type="dxa"/>
              <w:bottom w:w="70" w:type="dxa"/>
              <w:end w:w="90" w:type="dxa"/>
            </w:tcMar>
          </w:tcPr>
          <w:p>
            <w:pPr>
              <w:spacing w:after="0"/>
            </w:pPr>
            <w:r>
              <w:rPr>
                <w:sz w:val="16"/>
              </w:rPr>
              <w:t>5</w:t>
            </w:r>
          </w:p>
        </w:tc>
        <w:tc>
          <w:tcPr>
            <w:tcW w:type="dxa" w:w="2041"/>
            <w:vAlign w:val="top"/>
            <w:tcMar>
              <w:top w:w="70" w:type="dxa"/>
              <w:start w:w="90" w:type="dxa"/>
              <w:bottom w:w="70" w:type="dxa"/>
              <w:end w:w="90" w:type="dxa"/>
            </w:tcMar>
          </w:tcPr>
          <w:p>
            <w:pPr>
              <w:spacing w:after="0"/>
            </w:pPr>
            <w:r>
              <w:rPr>
                <w:sz w:val="16"/>
              </w:rPr>
              <w:t>2001-01 to 2024-12</w:t>
            </w:r>
          </w:p>
        </w:tc>
        <w:tc>
          <w:tcPr>
            <w:tcW w:type="dxa" w:w="3458"/>
            <w:vAlign w:val="top"/>
            <w:tcMar>
              <w:top w:w="70" w:type="dxa"/>
              <w:start w:w="90" w:type="dxa"/>
              <w:bottom w:w="70" w:type="dxa"/>
              <w:end w:w="90" w:type="dxa"/>
            </w:tcMar>
          </w:tcPr>
          <w:p>
            <w:pPr>
              <w:spacing w:after="0"/>
            </w:pPr>
            <w:r>
              <w:rPr>
                <w:sz w:val="16"/>
              </w:rPr>
              <w:t>Complete balanced monthly spine.</w:t>
            </w:r>
          </w:p>
        </w:tc>
      </w:tr>
      <w:tr>
        <w:trPr>
          <w:cantSplit/>
        </w:trPr>
        <w:tc>
          <w:tcPr>
            <w:tcW w:type="dxa" w:w="1814"/>
            <w:vAlign w:val="top"/>
            <w:tcMar>
              <w:top w:w="70" w:type="dxa"/>
              <w:start w:w="90" w:type="dxa"/>
              <w:bottom w:w="70" w:type="dxa"/>
              <w:end w:w="90" w:type="dxa"/>
            </w:tcMar>
          </w:tcPr>
          <w:p>
            <w:pPr>
              <w:spacing w:after="0"/>
            </w:pPr>
            <w:r>
              <w:rPr>
                <w:sz w:val="16"/>
              </w:rPr>
              <w:t>District monthly</w:t>
            </w:r>
          </w:p>
        </w:tc>
        <w:tc>
          <w:tcPr>
            <w:tcW w:type="dxa" w:w="1134"/>
            <w:vAlign w:val="top"/>
            <w:tcMar>
              <w:top w:w="70" w:type="dxa"/>
              <w:start w:w="90" w:type="dxa"/>
              <w:bottom w:w="70" w:type="dxa"/>
              <w:end w:w="90" w:type="dxa"/>
            </w:tcMar>
          </w:tcPr>
          <w:p>
            <w:pPr>
              <w:spacing w:after="0"/>
            </w:pPr>
            <w:r>
              <w:rPr>
                <w:sz w:val="16"/>
              </w:rPr>
              <w:t>74,880</w:t>
            </w:r>
          </w:p>
        </w:tc>
        <w:tc>
          <w:tcPr>
            <w:tcW w:type="dxa" w:w="850"/>
            <w:vAlign w:val="top"/>
            <w:tcMar>
              <w:top w:w="70" w:type="dxa"/>
              <w:start w:w="90" w:type="dxa"/>
              <w:bottom w:w="70" w:type="dxa"/>
              <w:end w:w="90" w:type="dxa"/>
            </w:tcMar>
          </w:tcPr>
          <w:p>
            <w:pPr>
              <w:spacing w:after="0"/>
            </w:pPr>
            <w:r>
              <w:rPr>
                <w:sz w:val="16"/>
              </w:rPr>
              <w:t>260</w:t>
            </w:r>
          </w:p>
        </w:tc>
        <w:tc>
          <w:tcPr>
            <w:tcW w:type="dxa" w:w="2041"/>
            <w:vAlign w:val="top"/>
            <w:tcMar>
              <w:top w:w="70" w:type="dxa"/>
              <w:start w:w="90" w:type="dxa"/>
              <w:bottom w:w="70" w:type="dxa"/>
              <w:end w:w="90" w:type="dxa"/>
            </w:tcMar>
          </w:tcPr>
          <w:p>
            <w:pPr>
              <w:spacing w:after="0"/>
            </w:pPr>
            <w:r>
              <w:rPr>
                <w:sz w:val="16"/>
              </w:rPr>
              <w:t>2001-01 to 2024-12</w:t>
            </w:r>
          </w:p>
        </w:tc>
        <w:tc>
          <w:tcPr>
            <w:tcW w:type="dxa" w:w="3458"/>
            <w:vAlign w:val="top"/>
            <w:tcMar>
              <w:top w:w="70" w:type="dxa"/>
              <w:start w:w="90" w:type="dxa"/>
              <w:bottom w:w="70" w:type="dxa"/>
              <w:end w:w="90" w:type="dxa"/>
            </w:tcMar>
          </w:tcPr>
          <w:p>
            <w:pPr>
              <w:spacing w:after="0"/>
            </w:pPr>
            <w:r>
              <w:rPr>
                <w:sz w:val="16"/>
              </w:rPr>
              <w:t>Complete balanced monthly spine.</w:t>
            </w:r>
          </w:p>
        </w:tc>
      </w:tr>
      <w:tr>
        <w:trPr>
          <w:cantSplit/>
        </w:trPr>
        <w:tc>
          <w:tcPr>
            <w:tcW w:type="dxa" w:w="1814"/>
            <w:vAlign w:val="top"/>
            <w:tcMar>
              <w:top w:w="70" w:type="dxa"/>
              <w:start w:w="90" w:type="dxa"/>
              <w:bottom w:w="70" w:type="dxa"/>
              <w:end w:w="90" w:type="dxa"/>
            </w:tcMar>
          </w:tcPr>
          <w:p>
            <w:pPr>
              <w:spacing w:after="0"/>
            </w:pPr>
            <w:r>
              <w:rPr>
                <w:sz w:val="16"/>
              </w:rPr>
              <w:t>Long-run district</w:t>
            </w:r>
          </w:p>
        </w:tc>
        <w:tc>
          <w:tcPr>
            <w:tcW w:type="dxa" w:w="1134"/>
            <w:vAlign w:val="top"/>
            <w:tcMar>
              <w:top w:w="70" w:type="dxa"/>
              <w:start w:w="90" w:type="dxa"/>
              <w:bottom w:w="70" w:type="dxa"/>
              <w:end w:w="90" w:type="dxa"/>
            </w:tcMar>
          </w:tcPr>
          <w:p>
            <w:pPr>
              <w:spacing w:after="0"/>
            </w:pPr>
            <w:r>
              <w:rPr>
                <w:sz w:val="16"/>
              </w:rPr>
              <w:t>72,000</w:t>
            </w:r>
          </w:p>
        </w:tc>
        <w:tc>
          <w:tcPr>
            <w:tcW w:type="dxa" w:w="850"/>
            <w:vAlign w:val="top"/>
            <w:tcMar>
              <w:top w:w="70" w:type="dxa"/>
              <w:start w:w="90" w:type="dxa"/>
              <w:bottom w:w="70" w:type="dxa"/>
              <w:end w:w="90" w:type="dxa"/>
            </w:tcMar>
          </w:tcPr>
          <w:p>
            <w:pPr>
              <w:spacing w:after="0"/>
            </w:pPr>
            <w:r>
              <w:rPr>
                <w:sz w:val="16"/>
              </w:rPr>
              <w:t>250</w:t>
            </w:r>
          </w:p>
        </w:tc>
        <w:tc>
          <w:tcPr>
            <w:tcW w:type="dxa" w:w="2041"/>
            <w:vAlign w:val="top"/>
            <w:tcMar>
              <w:top w:w="70" w:type="dxa"/>
              <w:start w:w="90" w:type="dxa"/>
              <w:bottom w:w="70" w:type="dxa"/>
              <w:end w:w="90" w:type="dxa"/>
            </w:tcMar>
          </w:tcPr>
          <w:p>
            <w:pPr>
              <w:spacing w:after="0"/>
            </w:pPr>
            <w:r>
              <w:rPr>
                <w:sz w:val="16"/>
              </w:rPr>
              <w:t>2001-01 to 2024-12</w:t>
            </w:r>
          </w:p>
        </w:tc>
        <w:tc>
          <w:tcPr>
            <w:tcW w:type="dxa" w:w="3458"/>
            <w:vAlign w:val="top"/>
            <w:tcMar>
              <w:top w:w="70" w:type="dxa"/>
              <w:start w:w="90" w:type="dxa"/>
              <w:bottom w:w="70" w:type="dxa"/>
              <w:end w:w="90" w:type="dxa"/>
            </w:tcMar>
          </w:tcPr>
          <w:p>
            <w:pPr>
              <w:spacing w:after="0"/>
            </w:pPr>
            <w:r>
              <w:rPr>
                <w:sz w:val="16"/>
              </w:rPr>
              <w:t>Positive fixed BA-2001 burnable-union denominator for all 288 months.</w:t>
            </w:r>
          </w:p>
        </w:tc>
      </w:tr>
      <w:tr>
        <w:trPr>
          <w:cantSplit/>
        </w:trPr>
        <w:tc>
          <w:tcPr>
            <w:tcW w:type="dxa" w:w="1814"/>
            <w:vAlign w:val="top"/>
            <w:tcMar>
              <w:top w:w="70" w:type="dxa"/>
              <w:start w:w="90" w:type="dxa"/>
              <w:bottom w:w="70" w:type="dxa"/>
              <w:end w:w="90" w:type="dxa"/>
            </w:tcMar>
          </w:tcPr>
          <w:p>
            <w:pPr>
              <w:spacing w:after="0"/>
            </w:pPr>
            <w:r>
              <w:rPr>
                <w:sz w:val="16"/>
              </w:rPr>
              <w:t>Paired overlap</w:t>
            </w:r>
          </w:p>
        </w:tc>
        <w:tc>
          <w:tcPr>
            <w:tcW w:type="dxa" w:w="1134"/>
            <w:vAlign w:val="top"/>
            <w:tcMar>
              <w:top w:w="70" w:type="dxa"/>
              <w:start w:w="90" w:type="dxa"/>
              <w:bottom w:w="70" w:type="dxa"/>
              <w:end w:w="90" w:type="dxa"/>
            </w:tcMar>
          </w:tcPr>
          <w:p>
            <w:pPr>
              <w:spacing w:after="0"/>
            </w:pPr>
            <w:r>
              <w:rPr>
                <w:sz w:val="16"/>
              </w:rPr>
              <w:t>38,595</w:t>
            </w:r>
          </w:p>
        </w:tc>
        <w:tc>
          <w:tcPr>
            <w:tcW w:type="dxa" w:w="850"/>
            <w:vAlign w:val="top"/>
            <w:tcMar>
              <w:top w:w="70" w:type="dxa"/>
              <w:start w:w="90" w:type="dxa"/>
              <w:bottom w:w="70" w:type="dxa"/>
              <w:end w:w="90" w:type="dxa"/>
            </w:tcMar>
          </w:tcPr>
          <w:p>
            <w:pPr>
              <w:spacing w:after="0"/>
            </w:pPr>
            <w:r>
              <w:rPr>
                <w:sz w:val="16"/>
              </w:rPr>
              <w:t>249</w:t>
            </w:r>
          </w:p>
        </w:tc>
        <w:tc>
          <w:tcPr>
            <w:tcW w:type="dxa" w:w="2041"/>
            <w:vAlign w:val="top"/>
            <w:tcMar>
              <w:top w:w="70" w:type="dxa"/>
              <w:start w:w="90" w:type="dxa"/>
              <w:bottom w:w="70" w:type="dxa"/>
              <w:end w:w="90" w:type="dxa"/>
            </w:tcMar>
          </w:tcPr>
          <w:p>
            <w:pPr>
              <w:spacing w:after="0"/>
            </w:pPr>
            <w:r>
              <w:rPr>
                <w:sz w:val="16"/>
              </w:rPr>
              <w:t>2012-02 to 2024-12</w:t>
            </w:r>
          </w:p>
        </w:tc>
        <w:tc>
          <w:tcPr>
            <w:tcW w:type="dxa" w:w="3458"/>
            <w:vAlign w:val="top"/>
            <w:tcMar>
              <w:top w:w="70" w:type="dxa"/>
              <w:start w:w="90" w:type="dxa"/>
              <w:bottom w:w="70" w:type="dxa"/>
              <w:end w:w="90" w:type="dxa"/>
            </w:tcMar>
          </w:tcPr>
          <w:p>
            <w:pPr>
              <w:spacing w:after="0"/>
            </w:pPr>
            <w:r>
              <w:rPr>
                <w:sz w:val="16"/>
              </w:rPr>
              <w:t>Positive fixed BA-2012 support and complete paired support for 155 months.</w:t>
            </w:r>
          </w:p>
        </w:tc>
      </w:tr>
      <w:tr>
        <w:trPr>
          <w:cantSplit/>
        </w:trPr>
        <w:tc>
          <w:tcPr>
            <w:tcW w:type="dxa" w:w="1814"/>
            <w:vAlign w:val="top"/>
            <w:tcMar>
              <w:top w:w="70" w:type="dxa"/>
              <w:start w:w="90" w:type="dxa"/>
              <w:bottom w:w="70" w:type="dxa"/>
              <w:end w:w="90" w:type="dxa"/>
            </w:tcMar>
          </w:tcPr>
          <w:p>
            <w:pPr>
              <w:spacing w:after="0"/>
            </w:pPr>
            <w:r>
              <w:rPr>
                <w:sz w:val="16"/>
              </w:rPr>
              <w:t>RQ3 model</w:t>
            </w:r>
          </w:p>
        </w:tc>
        <w:tc>
          <w:tcPr>
            <w:tcW w:type="dxa" w:w="1134"/>
            <w:vAlign w:val="top"/>
            <w:tcMar>
              <w:top w:w="70" w:type="dxa"/>
              <w:start w:w="90" w:type="dxa"/>
              <w:bottom w:w="70" w:type="dxa"/>
              <w:end w:w="90" w:type="dxa"/>
            </w:tcMar>
          </w:tcPr>
          <w:p>
            <w:pPr>
              <w:spacing w:after="0"/>
            </w:pPr>
            <w:r>
              <w:rPr>
                <w:sz w:val="16"/>
              </w:rPr>
              <w:t>22,939</w:t>
            </w:r>
          </w:p>
        </w:tc>
        <w:tc>
          <w:tcPr>
            <w:tcW w:type="dxa" w:w="850"/>
            <w:vAlign w:val="top"/>
            <w:tcMar>
              <w:top w:w="70" w:type="dxa"/>
              <w:start w:w="90" w:type="dxa"/>
              <w:bottom w:w="70" w:type="dxa"/>
              <w:end w:w="90" w:type="dxa"/>
            </w:tcMar>
          </w:tcPr>
          <w:p>
            <w:pPr>
              <w:spacing w:after="0"/>
            </w:pPr>
            <w:r>
              <w:rPr>
                <w:sz w:val="16"/>
              </w:rPr>
              <w:t>249</w:t>
            </w:r>
          </w:p>
        </w:tc>
        <w:tc>
          <w:tcPr>
            <w:tcW w:type="dxa" w:w="2041"/>
            <w:vAlign w:val="top"/>
            <w:tcMar>
              <w:top w:w="70" w:type="dxa"/>
              <w:start w:w="90" w:type="dxa"/>
              <w:bottom w:w="70" w:type="dxa"/>
              <w:end w:w="90" w:type="dxa"/>
            </w:tcMar>
          </w:tcPr>
          <w:p>
            <w:pPr>
              <w:spacing w:after="0"/>
            </w:pPr>
            <w:r>
              <w:rPr>
                <w:sz w:val="16"/>
              </w:rPr>
              <w:t>2012-02 to 2024-12</w:t>
            </w:r>
          </w:p>
        </w:tc>
        <w:tc>
          <w:tcPr>
            <w:tcW w:type="dxa" w:w="3458"/>
            <w:vAlign w:val="top"/>
            <w:tcMar>
              <w:top w:w="70" w:type="dxa"/>
              <w:start w:w="90" w:type="dxa"/>
              <w:bottom w:w="70" w:type="dxa"/>
              <w:end w:w="90" w:type="dxa"/>
            </w:tcMar>
          </w:tcPr>
          <w:p>
            <w:pPr>
              <w:spacing w:after="0"/>
            </w:pPr>
            <w:r>
              <w:rPr>
                <w:sz w:val="16"/>
              </w:rPr>
              <w:t>Paired population restricted to VIIRS-primary detection count &gt; 0.</w:t>
            </w:r>
          </w:p>
        </w:tc>
      </w:tr>
    </w:tbl>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shd w:fill="D9E2F3"/>
            <w:vAlign w:val="center"/>
            <w:tcMar>
              <w:top w:w="70" w:type="dxa"/>
              <w:start w:w="90" w:type="dxa"/>
              <w:bottom w:w="70" w:type="dxa"/>
              <w:end w:w="90" w:type="dxa"/>
            </w:tcMar>
          </w:tcPr>
          <w:p>
            <w:r>
              <w:rPr>
                <w:b/>
                <w:sz w:val="17"/>
              </w:rPr>
              <w:t>Construct</w:t>
            </w:r>
          </w:p>
        </w:tc>
        <w:tc>
          <w:tcPr>
            <w:tcW w:type="dxa" w:w="3402"/>
            <w:shd w:fill="D9E2F3"/>
            <w:vAlign w:val="center"/>
            <w:tcMar>
              <w:top w:w="70" w:type="dxa"/>
              <w:start w:w="90" w:type="dxa"/>
              <w:bottom w:w="70" w:type="dxa"/>
              <w:end w:w="90" w:type="dxa"/>
            </w:tcMar>
          </w:tcPr>
          <w:p>
            <w:r>
              <w:rPr>
                <w:b/>
                <w:sz w:val="17"/>
              </w:rPr>
              <w:t>Governed field</w:t>
            </w:r>
          </w:p>
        </w:tc>
        <w:tc>
          <w:tcPr>
            <w:tcW w:type="dxa" w:w="3402"/>
            <w:shd w:fill="D9E2F3"/>
            <w:vAlign w:val="center"/>
            <w:tcMar>
              <w:top w:w="70" w:type="dxa"/>
              <w:start w:w="90" w:type="dxa"/>
              <w:bottom w:w="70" w:type="dxa"/>
              <w:end w:w="90" w:type="dxa"/>
            </w:tcMar>
          </w:tcPr>
          <w:p>
            <w:r>
              <w:rPr>
                <w:b/>
                <w:sz w:val="17"/>
              </w:rPr>
              <w:t>Role</w:t>
            </w:r>
          </w:p>
        </w:tc>
      </w:tr>
      <w:tr>
        <w:trPr>
          <w:cantSplit/>
        </w:trPr>
        <w:tc>
          <w:tcPr>
            <w:tcW w:type="dxa" w:w="2268"/>
            <w:vAlign w:val="top"/>
            <w:tcMar>
              <w:top w:w="70" w:type="dxa"/>
              <w:start w:w="90" w:type="dxa"/>
              <w:bottom w:w="70" w:type="dxa"/>
              <w:end w:w="90" w:type="dxa"/>
            </w:tcMar>
          </w:tcPr>
          <w:p>
            <w:pPr>
              <w:spacing w:after="0"/>
            </w:pPr>
            <w:r>
              <w:rPr>
                <w:sz w:val="16"/>
              </w:rPr>
              <w:t>MCD64A1 BA-2001 area</w:t>
            </w:r>
          </w:p>
        </w:tc>
        <w:tc>
          <w:tcPr>
            <w:tcW w:type="dxa" w:w="3402"/>
            <w:vAlign w:val="top"/>
            <w:tcMar>
              <w:top w:w="70" w:type="dxa"/>
              <w:start w:w="90" w:type="dxa"/>
              <w:bottom w:w="70" w:type="dxa"/>
              <w:end w:w="90" w:type="dxa"/>
            </w:tcMar>
          </w:tcPr>
          <w:p>
            <w:pPr>
              <w:spacing w:after="0"/>
            </w:pPr>
            <w:r>
              <w:rPr>
                <w:sz w:val="16"/>
              </w:rPr>
              <w:t>modis_ba_km2_ba2001</w:t>
            </w:r>
          </w:p>
        </w:tc>
        <w:tc>
          <w:tcPr>
            <w:tcW w:type="dxa" w:w="3402"/>
            <w:vAlign w:val="top"/>
            <w:tcMar>
              <w:top w:w="70" w:type="dxa"/>
              <w:start w:w="90" w:type="dxa"/>
              <w:bottom w:w="70" w:type="dxa"/>
              <w:end w:w="90" w:type="dxa"/>
            </w:tcMar>
          </w:tcPr>
          <w:p>
            <w:pPr>
              <w:spacing w:after="0"/>
            </w:pPr>
            <w:r>
              <w:rPr>
                <w:sz w:val="16"/>
              </w:rPr>
              <w:t>RQ1/RQ2 mapped burned-surface quantity.</w:t>
            </w:r>
          </w:p>
        </w:tc>
      </w:tr>
      <w:tr>
        <w:trPr>
          <w:cantSplit/>
        </w:trPr>
        <w:tc>
          <w:tcPr>
            <w:tcW w:type="dxa" w:w="2268"/>
            <w:vAlign w:val="top"/>
            <w:tcMar>
              <w:top w:w="70" w:type="dxa"/>
              <w:start w:w="90" w:type="dxa"/>
              <w:bottom w:w="70" w:type="dxa"/>
              <w:end w:w="90" w:type="dxa"/>
            </w:tcMar>
          </w:tcPr>
          <w:p>
            <w:pPr>
              <w:spacing w:after="0"/>
            </w:pPr>
            <w:r>
              <w:rPr>
                <w:sz w:val="16"/>
              </w:rPr>
              <w:t>Fixed BA-2001 burnable area</w:t>
            </w:r>
          </w:p>
        </w:tc>
        <w:tc>
          <w:tcPr>
            <w:tcW w:type="dxa" w:w="3402"/>
            <w:vAlign w:val="top"/>
            <w:tcMar>
              <w:top w:w="70" w:type="dxa"/>
              <w:start w:w="90" w:type="dxa"/>
              <w:bottom w:w="70" w:type="dxa"/>
              <w:end w:w="90" w:type="dxa"/>
            </w:tcMar>
          </w:tcPr>
          <w:p>
            <w:pPr>
              <w:spacing w:after="0"/>
            </w:pPr>
            <w:r>
              <w:rPr>
                <w:sz w:val="16"/>
              </w:rPr>
              <w:t>modis_burnable_km2_union_ba2001</w:t>
            </w:r>
          </w:p>
        </w:tc>
        <w:tc>
          <w:tcPr>
            <w:tcW w:type="dxa" w:w="3402"/>
            <w:vAlign w:val="top"/>
            <w:tcMar>
              <w:top w:w="70" w:type="dxa"/>
              <w:start w:w="90" w:type="dxa"/>
              <w:bottom w:w="70" w:type="dxa"/>
              <w:end w:w="90" w:type="dxa"/>
            </w:tcMar>
          </w:tcPr>
          <w:p>
            <w:pPr>
              <w:spacing w:after="0"/>
            </w:pPr>
            <w:r>
              <w:rPr>
                <w:sz w:val="16"/>
              </w:rPr>
              <w:t>RQ1/RQ2 denominator; MCD SaTScan exposure.</w:t>
            </w:r>
          </w:p>
        </w:tc>
      </w:tr>
      <w:tr>
        <w:trPr>
          <w:cantSplit/>
        </w:trPr>
        <w:tc>
          <w:tcPr>
            <w:tcW w:type="dxa" w:w="2268"/>
            <w:vAlign w:val="top"/>
            <w:tcMar>
              <w:top w:w="70" w:type="dxa"/>
              <w:start w:w="90" w:type="dxa"/>
              <w:bottom w:w="70" w:type="dxa"/>
              <w:end w:w="90" w:type="dxa"/>
            </w:tcMar>
          </w:tcPr>
          <w:p>
            <w:pPr>
              <w:spacing w:after="0"/>
            </w:pPr>
            <w:r>
              <w:rPr>
                <w:sz w:val="16"/>
              </w:rPr>
              <w:t>MCD64A1 BA-2012 presence</w:t>
            </w:r>
          </w:p>
        </w:tc>
        <w:tc>
          <w:tcPr>
            <w:tcW w:type="dxa" w:w="3402"/>
            <w:vAlign w:val="top"/>
            <w:tcMar>
              <w:top w:w="70" w:type="dxa"/>
              <w:start w:w="90" w:type="dxa"/>
              <w:bottom w:w="70" w:type="dxa"/>
              <w:end w:w="90" w:type="dxa"/>
            </w:tcMar>
          </w:tcPr>
          <w:p>
            <w:pPr>
              <w:spacing w:after="0"/>
            </w:pPr>
            <w:r>
              <w:rPr>
                <w:sz w:val="16"/>
              </w:rPr>
              <w:t>modis_ba_any_ba2012</w:t>
            </w:r>
          </w:p>
        </w:tc>
        <w:tc>
          <w:tcPr>
            <w:tcW w:type="dxa" w:w="3402"/>
            <w:vAlign w:val="top"/>
            <w:tcMar>
              <w:top w:w="70" w:type="dxa"/>
              <w:start w:w="90" w:type="dxa"/>
              <w:bottom w:w="70" w:type="dxa"/>
              <w:end w:w="90" w:type="dxa"/>
            </w:tcMar>
          </w:tcPr>
          <w:p>
            <w:pPr>
              <w:spacing w:after="0"/>
            </w:pPr>
            <w:r>
              <w:rPr>
                <w:sz w:val="16"/>
              </w:rPr>
              <w:t>RQ3 outcome component.</w:t>
            </w:r>
          </w:p>
        </w:tc>
      </w:tr>
      <w:tr>
        <w:trPr>
          <w:cantSplit/>
        </w:trPr>
        <w:tc>
          <w:tcPr>
            <w:tcW w:type="dxa" w:w="2268"/>
            <w:vAlign w:val="top"/>
            <w:tcMar>
              <w:top w:w="70" w:type="dxa"/>
              <w:start w:w="90" w:type="dxa"/>
              <w:bottom w:w="70" w:type="dxa"/>
              <w:end w:w="90" w:type="dxa"/>
            </w:tcMar>
          </w:tcPr>
          <w:p>
            <w:pPr>
              <w:spacing w:after="0"/>
            </w:pPr>
            <w:r>
              <w:rPr>
                <w:sz w:val="16"/>
              </w:rPr>
              <w:t>VIIRS primary detections</w:t>
            </w:r>
          </w:p>
        </w:tc>
        <w:tc>
          <w:tcPr>
            <w:tcW w:type="dxa" w:w="3402"/>
            <w:vAlign w:val="top"/>
            <w:tcMar>
              <w:top w:w="70" w:type="dxa"/>
              <w:start w:w="90" w:type="dxa"/>
              <w:bottom w:w="70" w:type="dxa"/>
              <w:end w:w="90" w:type="dxa"/>
            </w:tcMar>
          </w:tcPr>
          <w:p>
            <w:pPr>
              <w:spacing w:after="0"/>
            </w:pPr>
            <w:r>
              <w:rPr>
                <w:sz w:val="16"/>
              </w:rPr>
              <w:t>viirs_det_primary</w:t>
            </w:r>
          </w:p>
        </w:tc>
        <w:tc>
          <w:tcPr>
            <w:tcW w:type="dxa" w:w="3402"/>
            <w:vAlign w:val="top"/>
            <w:tcMar>
              <w:top w:w="70" w:type="dxa"/>
              <w:start w:w="90" w:type="dxa"/>
              <w:bottom w:w="70" w:type="dxa"/>
              <w:end w:w="90" w:type="dxa"/>
            </w:tcMar>
          </w:tcPr>
          <w:p>
            <w:pPr>
              <w:spacing w:after="0"/>
            </w:pPr>
            <w:r>
              <w:rPr>
                <w:sz w:val="16"/>
              </w:rPr>
              <w:t>RQ3 focal predictor; VIIRS SaTScan cases.</w:t>
            </w:r>
          </w:p>
        </w:tc>
      </w:tr>
      <w:tr>
        <w:trPr>
          <w:cantSplit/>
        </w:trPr>
        <w:tc>
          <w:tcPr>
            <w:tcW w:type="dxa" w:w="2268"/>
            <w:vAlign w:val="top"/>
            <w:tcMar>
              <w:top w:w="70" w:type="dxa"/>
              <w:start w:w="90" w:type="dxa"/>
              <w:bottom w:w="70" w:type="dxa"/>
              <w:end w:w="90" w:type="dxa"/>
            </w:tcMar>
          </w:tcPr>
          <w:p>
            <w:pPr>
              <w:spacing w:after="0"/>
            </w:pPr>
            <w:r>
              <w:rPr>
                <w:sz w:val="16"/>
              </w:rPr>
              <w:t>VIIRS mean FRP</w:t>
            </w:r>
          </w:p>
        </w:tc>
        <w:tc>
          <w:tcPr>
            <w:tcW w:type="dxa" w:w="3402"/>
            <w:vAlign w:val="top"/>
            <w:tcMar>
              <w:top w:w="70" w:type="dxa"/>
              <w:start w:w="90" w:type="dxa"/>
              <w:bottom w:w="70" w:type="dxa"/>
              <w:end w:w="90" w:type="dxa"/>
            </w:tcMar>
          </w:tcPr>
          <w:p>
            <w:pPr>
              <w:spacing w:after="0"/>
            </w:pPr>
            <w:r>
              <w:rPr>
                <w:sz w:val="16"/>
              </w:rPr>
              <w:t>viirs_frp_mean_mw</w:t>
            </w:r>
          </w:p>
        </w:tc>
        <w:tc>
          <w:tcPr>
            <w:tcW w:type="dxa" w:w="3402"/>
            <w:vAlign w:val="top"/>
            <w:tcMar>
              <w:top w:w="70" w:type="dxa"/>
              <w:start w:w="90" w:type="dxa"/>
              <w:bottom w:w="70" w:type="dxa"/>
              <w:end w:w="90" w:type="dxa"/>
            </w:tcMar>
          </w:tcPr>
          <w:p>
            <w:pPr>
              <w:spacing w:after="0"/>
            </w:pPr>
            <w:r>
              <w:rPr>
                <w:sz w:val="16"/>
              </w:rPr>
              <w:t>RQ3 focal predictor.</w:t>
            </w:r>
          </w:p>
        </w:tc>
      </w:tr>
      <w:tr>
        <w:trPr>
          <w:cantSplit/>
        </w:trPr>
        <w:tc>
          <w:tcPr>
            <w:tcW w:type="dxa" w:w="2268"/>
            <w:vAlign w:val="top"/>
            <w:tcMar>
              <w:top w:w="70" w:type="dxa"/>
              <w:start w:w="90" w:type="dxa"/>
              <w:bottom w:w="70" w:type="dxa"/>
              <w:end w:w="90" w:type="dxa"/>
            </w:tcMar>
          </w:tcPr>
          <w:p>
            <w:pPr>
              <w:spacing w:after="0"/>
            </w:pPr>
            <w:r>
              <w:rPr>
                <w:sz w:val="16"/>
              </w:rPr>
              <w:t>Fixed BA-2012 burnable area</w:t>
            </w:r>
          </w:p>
        </w:tc>
        <w:tc>
          <w:tcPr>
            <w:tcW w:type="dxa" w:w="3402"/>
            <w:vAlign w:val="top"/>
            <w:tcMar>
              <w:top w:w="70" w:type="dxa"/>
              <w:start w:w="90" w:type="dxa"/>
              <w:bottom w:w="70" w:type="dxa"/>
              <w:end w:w="90" w:type="dxa"/>
            </w:tcMar>
          </w:tcPr>
          <w:p>
            <w:pPr>
              <w:spacing w:after="0"/>
            </w:pPr>
            <w:r>
              <w:rPr>
                <w:sz w:val="16"/>
              </w:rPr>
              <w:t>modis_burnable_km2_union_ba2012</w:t>
            </w:r>
          </w:p>
        </w:tc>
        <w:tc>
          <w:tcPr>
            <w:tcW w:type="dxa" w:w="3402"/>
            <w:vAlign w:val="top"/>
            <w:tcMar>
              <w:top w:w="70" w:type="dxa"/>
              <w:start w:w="90" w:type="dxa"/>
              <w:bottom w:w="70" w:type="dxa"/>
              <w:end w:w="90" w:type="dxa"/>
            </w:tcMar>
          </w:tcPr>
          <w:p>
            <w:pPr>
              <w:spacing w:after="0"/>
            </w:pPr>
            <w:r>
              <w:rPr>
                <w:sz w:val="16"/>
              </w:rPr>
              <w:t>RQ3 log2 adjustment.</w:t>
            </w:r>
          </w:p>
        </w:tc>
      </w:tr>
      <w:tr>
        <w:trPr>
          <w:cantSplit/>
        </w:trPr>
        <w:tc>
          <w:tcPr>
            <w:tcW w:type="dxa" w:w="2268"/>
            <w:vAlign w:val="top"/>
            <w:tcMar>
              <w:top w:w="70" w:type="dxa"/>
              <w:start w:w="90" w:type="dxa"/>
              <w:bottom w:w="70" w:type="dxa"/>
              <w:end w:w="90" w:type="dxa"/>
            </w:tcMar>
          </w:tcPr>
          <w:p>
            <w:pPr>
              <w:spacing w:after="0"/>
            </w:pPr>
            <w:r>
              <w:rPr>
                <w:sz w:val="16"/>
              </w:rPr>
              <w:t>VIIRS active days</w:t>
            </w:r>
          </w:p>
        </w:tc>
        <w:tc>
          <w:tcPr>
            <w:tcW w:type="dxa" w:w="3402"/>
            <w:vAlign w:val="top"/>
            <w:tcMar>
              <w:top w:w="70" w:type="dxa"/>
              <w:start w:w="90" w:type="dxa"/>
              <w:bottom w:w="70" w:type="dxa"/>
              <w:end w:w="90" w:type="dxa"/>
            </w:tcMar>
          </w:tcPr>
          <w:p>
            <w:pPr>
              <w:spacing w:after="0"/>
            </w:pPr>
            <w:r>
              <w:rPr>
                <w:sz w:val="16"/>
              </w:rPr>
              <w:t>viirs_days_active_nh</w:t>
            </w:r>
          </w:p>
        </w:tc>
        <w:tc>
          <w:tcPr>
            <w:tcW w:type="dxa" w:w="3402"/>
            <w:vAlign w:val="top"/>
            <w:tcMar>
              <w:top w:w="70" w:type="dxa"/>
              <w:start w:w="90" w:type="dxa"/>
              <w:bottom w:w="70" w:type="dxa"/>
              <w:end w:w="90" w:type="dxa"/>
            </w:tcMar>
          </w:tcPr>
          <w:p>
            <w:pPr>
              <w:spacing w:after="0"/>
            </w:pPr>
            <w:r>
              <w:rPr>
                <w:sz w:val="16"/>
              </w:rPr>
              <w:t>Governed source field; excluded from final RQ3 model.</w:t>
            </w:r>
          </w:p>
        </w:tc>
      </w:tr>
      <w:tr>
        <w:trPr>
          <w:cantSplit/>
        </w:trPr>
        <w:tc>
          <w:tcPr>
            <w:tcW w:type="dxa" w:w="2268"/>
            <w:vAlign w:val="top"/>
            <w:tcMar>
              <w:top w:w="70" w:type="dxa"/>
              <w:start w:w="90" w:type="dxa"/>
              <w:bottom w:w="70" w:type="dxa"/>
              <w:end w:w="90" w:type="dxa"/>
            </w:tcMar>
          </w:tcPr>
          <w:p>
            <w:pPr>
              <w:spacing w:after="0"/>
            </w:pPr>
            <w:r>
              <w:rPr>
                <w:sz w:val="16"/>
              </w:rPr>
              <w:t>MODIS active-fire co-detection</w:t>
            </w:r>
          </w:p>
        </w:tc>
        <w:tc>
          <w:tcPr>
            <w:tcW w:type="dxa" w:w="3402"/>
            <w:vAlign w:val="top"/>
            <w:tcMar>
              <w:top w:w="70" w:type="dxa"/>
              <w:start w:w="90" w:type="dxa"/>
              <w:bottom w:w="70" w:type="dxa"/>
              <w:end w:w="90" w:type="dxa"/>
            </w:tcMar>
          </w:tcPr>
          <w:p>
            <w:pPr>
              <w:spacing w:after="0"/>
            </w:pPr>
            <w:r>
              <w:rPr>
                <w:sz w:val="16"/>
              </w:rPr>
              <w:t>modis_det_primary_any</w:t>
            </w:r>
          </w:p>
        </w:tc>
        <w:tc>
          <w:tcPr>
            <w:tcW w:type="dxa" w:w="3402"/>
            <w:vAlign w:val="top"/>
            <w:tcMar>
              <w:top w:w="70" w:type="dxa"/>
              <w:start w:w="90" w:type="dxa"/>
              <w:bottom w:w="70" w:type="dxa"/>
              <w:end w:w="90" w:type="dxa"/>
            </w:tcMar>
          </w:tcPr>
          <w:p>
            <w:pPr>
              <w:spacing w:after="0"/>
            </w:pPr>
            <w:r>
              <w:rPr>
                <w:sz w:val="16"/>
              </w:rPr>
              <w:t>Governed source field; excluded from final RQ3 model and not a validation authority.</w:t>
            </w:r>
          </w:p>
        </w:tc>
      </w:tr>
    </w:tbl>
    <w:p>
      <w:pPr>
        <w:pStyle w:val="Heading1"/>
      </w:pPr>
      <w:r>
        <w:t>4. General analytical and governance principles</w:t>
      </w:r>
    </w:p>
    <w:p>
      <w:pPr>
        <w:pStyle w:val="ListBullet"/>
      </w:pPr>
      <w:r>
        <w:t>All inferential families, permutation counts, seeds, model terms, factor references and SaTScan settings are specified before result interpretation.</w:t>
      </w:r>
    </w:p>
    <w:p>
      <w:pPr>
        <w:pStyle w:val="ListBullet"/>
      </w:pPr>
      <w:r>
        <w:t>No parameter is tuned to maximise significance or improve an observed result.</w:t>
      </w:r>
    </w:p>
    <w:p>
      <w:pPr>
        <w:pStyle w:val="ListBullet"/>
      </w:pPr>
      <w:r>
        <w:t>Alpha is 0.05 and confidence intervals use 95% coverage unless a method-specific rule states otherwise.</w:t>
      </w:r>
    </w:p>
    <w:p>
      <w:pPr>
        <w:pStyle w:val="ListBullet"/>
      </w:pPr>
      <w:r>
        <w:t>RP1-controlled stochastic procedures use the configured seed 20260822.</w:t>
      </w:r>
    </w:p>
    <w:p>
      <w:pPr>
        <w:pStyle w:val="ListBullet"/>
      </w:pPr>
      <w:r>
        <w:t>Mathematically or computationally inadmissible analyses fail closed; no silent fallback estimator or ad hoc correction is substituted.</w:t>
      </w:r>
    </w:p>
    <w:p>
      <w:pPr>
        <w:pStyle w:val="ListBullet"/>
      </w:pPr>
      <w:r>
        <w:t>Publication values are derived from governed analysis authorities rather than manual transcription.</w:t>
      </w:r>
    </w:p>
    <w:p>
      <w:pPr>
        <w:pStyle w:val="ListBullet"/>
      </w:pPr>
      <w:r>
        <w:t>Interpretation remains observational and does not identify causal effects or drivers.</w:t>
      </w:r>
    </w:p>
    <w:p>
      <w:pPr>
        <w:pStyle w:val="Heading1"/>
      </w:pPr>
      <w:r>
        <w:t>5. RQ1 - spatial support, heterogeneity, seasonality and spatial organisation</w:t>
      </w:r>
    </w:p>
    <w:p>
      <w:pPr>
        <w:pStyle w:val="Heading2"/>
      </w:pPr>
      <w:r>
        <w:t>5.1 Spatial supports and rates</w:t>
      </w:r>
    </w:p>
    <w:p>
      <w:r>
        <w:t>RQ1 compares the same MCD64A1 mapped burned-area construct at five directly aggregated ACZ supports and 250 eligible district supports. ACZ values are calculated directly on ACZ support rather than averaged from district rates. Annual rate is 100 x annual burned area / fixed BA-2001 burnable area. Long-run rate is the arithmetic mean of the 24 annual rates.</w:t>
      </w:r>
    </w:p>
    <w:p>
      <w:pPr>
        <w:pStyle w:val="Heading2"/>
      </w:pPr>
      <w:r>
        <w:t>5.2 District heterogeneity and departure</w:t>
      </w:r>
    </w:p>
    <w:p>
      <w:r>
        <w:t>Within each parent ACZ, district long-run rates are summarised by median, interquartile range and Gini coefficient. District parent ACZ is assigned by maximum original-polygon overlap share, with whole districts retained. District departure is the raw district long-run rate minus the directly aggregated parent-ACZ long-run rate.</w:t>
      </w:r>
    </w:p>
    <w:p>
      <w:pPr>
        <w:pStyle w:val="Heading2"/>
      </w:pPr>
      <w:r>
        <w:t>5.3 Circular seasonality</w:t>
      </w:r>
    </w:p>
    <w:p>
      <w:r>
        <w:t>The full 12-month climatology is retained. Circular mean direction describes timing and mean resultant length describes concentration. The reported continuous month coordinate is cyclic at the December/January boundary: 0 is equivalent to 12. This is a circular coordinate, not a linear variable strictly confined to [1,12]. Peak month is descriptive only.</w:t>
      </w:r>
    </w:p>
    <w:p>
      <w:pPr>
        <w:pStyle w:val="Heading2"/>
      </w:pPr>
      <w:r>
        <w:t>5.4 Spatial organisation</w:t>
      </w:r>
    </w:p>
    <w:p>
      <w:r>
        <w:t>First-order Queen contiguity weights are row-standardised. Islands are excluded from Moran inference without artificial links. Exactly one national Global Moran I is computed with 9,999 permutations. Local Moran uses 9,999 conditional permutations and BH-FDR across eligible non-island districts; only FDR-supported classes are interpreted inferentially.</w:t>
      </w:r>
    </w:p>
    <w:p>
      <w:pPr>
        <w:pStyle w:val="Heading1"/>
      </w:pPr>
      <w:r>
        <w:t>6. RQ2 - monotonic annual burned-area-rate change under serial dependence</w:t>
      </w:r>
    </w:p>
    <w:p>
      <w:pPr>
        <w:pStyle w:val="Heading2"/>
      </w:pPr>
      <w:r>
        <w:t>6.1 Question, effect magnitude and inferential target</w:t>
      </w:r>
    </w:p>
    <w:p>
      <w:r>
        <w:t>Each ACZ contributes one annual fixed-support burned-area-rate series for 2001-2024 (n=24). Sen slope reports effect direction and magnitude. The inferential procedure is the Romano-Tirlea studentized global Mann-Kendall permutation test. Sen slope and the inferential null are distinct: the inferential null is not defined as a zero Sen slope.</w:t>
      </w:r>
    </w:p>
    <w:p>
      <w:r>
        <w:t>In the supplied reference framework, the global null is strict stationarity. The stated asymptotic validity conditions include strict stationarity, absolute regularity, no ties/continuous marginal distribution, summable beta-mixing coefficients, positive long-run variance and an asymptotically admissible bandwidth sequence. A non-significant result is therefore described as non-rejection under the configured procedure; it does not prove that no temporal change occurred.</w:t>
      </w:r>
    </w:p>
    <w:p>
      <w:pPr>
        <w:pStyle w:val="Heading2"/>
      </w:pPr>
      <w:r>
        <w:t>6.2 Tie admissibility</w:t>
      </w:r>
    </w:p>
    <w:p>
      <w:r>
        <w:t>The strict production route requires tie-free realised annual observations. All five Ghana ACZ annual series contain 24 distinct values. If a future governed annual series contains ties, production inference fails closed with a method-admissibility error before permutation inference. Generic Mann-Kendall pairwise code retains the mathematically correct zero contribution for an equal pair, but this local kernel behaviour is not inferential qualification for tied time series. The project does not claim that the Romano-Tirlea reference theorem validates a tied-data extension without a separate prospective authority.</w:t>
      </w:r>
    </w:p>
    <w:p>
      <w:pPr>
        <w:pStyle w:val="Heading2"/>
      </w:pPr>
      <w:r>
        <w:t>6.3 Studentized statistic and finite-sample implementation</w:t>
      </w:r>
    </w:p>
    <w:p>
      <w:r>
        <w:t>The implementation uses the right-continuous less-than-or-equal empirical CDF, a long-run variance estimate with configured bandwidth, and re-studentises every sampled permutation. Two-sided extremeness is based on absolute studentized statistics with equality included in the &gt;= tail. The independent reference implementation uses exact tie-free rank arithmetic at this boundary.</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494"/>
            <w:shd w:fill="D9E2F3"/>
            <w:vAlign w:val="center"/>
            <w:tcMar>
              <w:top w:w="70" w:type="dxa"/>
              <w:start w:w="90" w:type="dxa"/>
              <w:bottom w:w="70" w:type="dxa"/>
              <w:end w:w="90" w:type="dxa"/>
            </w:tcMar>
          </w:tcPr>
          <w:p>
            <w:r>
              <w:rPr>
                <w:b/>
                <w:sz w:val="17"/>
              </w:rPr>
              <w:t>Component</w:t>
            </w:r>
          </w:p>
        </w:tc>
        <w:tc>
          <w:tcPr>
            <w:tcW w:type="dxa" w:w="3969"/>
            <w:shd w:fill="D9E2F3"/>
            <w:vAlign w:val="center"/>
            <w:tcMar>
              <w:top w:w="70" w:type="dxa"/>
              <w:start w:w="90" w:type="dxa"/>
              <w:bottom w:w="70" w:type="dxa"/>
              <w:end w:w="90" w:type="dxa"/>
            </w:tcMar>
          </w:tcPr>
          <w:p>
            <w:r>
              <w:rPr>
                <w:b/>
                <w:sz w:val="17"/>
              </w:rPr>
              <w:t>Current authority</w:t>
            </w:r>
          </w:p>
        </w:tc>
        <w:tc>
          <w:tcPr>
            <w:tcW w:type="dxa" w:w="2608"/>
            <w:shd w:fill="D9E2F3"/>
            <w:vAlign w:val="center"/>
            <w:tcMar>
              <w:top w:w="70" w:type="dxa"/>
              <w:start w:w="90" w:type="dxa"/>
              <w:bottom w:w="70" w:type="dxa"/>
              <w:end w:w="90" w:type="dxa"/>
            </w:tcMar>
          </w:tcPr>
          <w:p>
            <w:r>
              <w:rPr>
                <w:b/>
                <w:sz w:val="17"/>
              </w:rPr>
              <w:t>Provenance classification</w:t>
            </w:r>
          </w:p>
        </w:tc>
      </w:tr>
      <w:tr>
        <w:trPr>
          <w:cantSplit/>
        </w:trPr>
        <w:tc>
          <w:tcPr>
            <w:tcW w:type="dxa" w:w="2494"/>
            <w:vAlign w:val="top"/>
            <w:tcMar>
              <w:top w:w="70" w:type="dxa"/>
              <w:start w:w="90" w:type="dxa"/>
              <w:bottom w:w="70" w:type="dxa"/>
              <w:end w:w="90" w:type="dxa"/>
            </w:tcMar>
          </w:tcPr>
          <w:p>
            <w:pPr>
              <w:spacing w:after="0"/>
            </w:pPr>
            <w:r>
              <w:rPr>
                <w:sz w:val="16"/>
              </w:rPr>
              <w:t>Global Mann-Kendall rank statistic</w:t>
            </w:r>
          </w:p>
        </w:tc>
        <w:tc>
          <w:tcPr>
            <w:tcW w:type="dxa" w:w="3969"/>
            <w:vAlign w:val="top"/>
            <w:tcMar>
              <w:top w:w="70" w:type="dxa"/>
              <w:start w:w="90" w:type="dxa"/>
              <w:bottom w:w="70" w:type="dxa"/>
              <w:end w:w="90" w:type="dxa"/>
            </w:tcMar>
          </w:tcPr>
          <w:p>
            <w:pPr>
              <w:spacing w:after="0"/>
            </w:pPr>
            <w:r>
              <w:rPr>
                <w:sz w:val="16"/>
              </w:rPr>
              <w:t>Romano-Tirlea global construction</w:t>
            </w:r>
          </w:p>
        </w:tc>
        <w:tc>
          <w:tcPr>
            <w:tcW w:type="dxa" w:w="2608"/>
            <w:vAlign w:val="top"/>
            <w:tcMar>
              <w:top w:w="70" w:type="dxa"/>
              <w:start w:w="90" w:type="dxa"/>
              <w:bottom w:w="70" w:type="dxa"/>
              <w:end w:w="90" w:type="dxa"/>
            </w:tcMar>
          </w:tcPr>
          <w:p>
            <w:pPr>
              <w:spacing w:after="0"/>
            </w:pPr>
            <w:r>
              <w:rPr>
                <w:sz w:val="16"/>
              </w:rPr>
              <w:t>method-derived</w:t>
            </w:r>
          </w:p>
        </w:tc>
      </w:tr>
      <w:tr>
        <w:trPr>
          <w:cantSplit/>
        </w:trPr>
        <w:tc>
          <w:tcPr>
            <w:tcW w:type="dxa" w:w="2494"/>
            <w:vAlign w:val="top"/>
            <w:tcMar>
              <w:top w:w="70" w:type="dxa"/>
              <w:start w:w="90" w:type="dxa"/>
              <w:bottom w:w="70" w:type="dxa"/>
              <w:end w:w="90" w:type="dxa"/>
            </w:tcMar>
          </w:tcPr>
          <w:p>
            <w:pPr>
              <w:spacing w:after="0"/>
            </w:pPr>
            <w:r>
              <w:rPr>
                <w:sz w:val="16"/>
              </w:rPr>
              <w:t>Studentisation and long-run variance</w:t>
            </w:r>
          </w:p>
        </w:tc>
        <w:tc>
          <w:tcPr>
            <w:tcW w:type="dxa" w:w="3969"/>
            <w:vAlign w:val="top"/>
            <w:tcMar>
              <w:top w:w="70" w:type="dxa"/>
              <w:start w:w="90" w:type="dxa"/>
              <w:bottom w:w="70" w:type="dxa"/>
              <w:end w:w="90" w:type="dxa"/>
            </w:tcMar>
          </w:tcPr>
          <w:p>
            <w:pPr>
              <w:spacing w:after="0"/>
            </w:pPr>
            <w:r>
              <w:rPr>
                <w:sz w:val="16"/>
              </w:rPr>
              <w:t>Romano-Tirlea construction</w:t>
            </w:r>
          </w:p>
        </w:tc>
        <w:tc>
          <w:tcPr>
            <w:tcW w:type="dxa" w:w="2608"/>
            <w:vAlign w:val="top"/>
            <w:tcMar>
              <w:top w:w="70" w:type="dxa"/>
              <w:start w:w="90" w:type="dxa"/>
              <w:bottom w:w="70" w:type="dxa"/>
              <w:end w:w="90" w:type="dxa"/>
            </w:tcMar>
          </w:tcPr>
          <w:p>
            <w:pPr>
              <w:spacing w:after="0"/>
            </w:pPr>
            <w:r>
              <w:rPr>
                <w:sz w:val="16"/>
              </w:rPr>
              <w:t>method-derived</w:t>
            </w:r>
          </w:p>
        </w:tc>
      </w:tr>
      <w:tr>
        <w:trPr>
          <w:cantSplit/>
        </w:trPr>
        <w:tc>
          <w:tcPr>
            <w:tcW w:type="dxa" w:w="2494"/>
            <w:vAlign w:val="top"/>
            <w:tcMar>
              <w:top w:w="70" w:type="dxa"/>
              <w:start w:w="90" w:type="dxa"/>
              <w:bottom w:w="70" w:type="dxa"/>
              <w:end w:w="90" w:type="dxa"/>
            </w:tcMar>
          </w:tcPr>
          <w:p>
            <w:pPr>
              <w:spacing w:after="0"/>
            </w:pPr>
            <w:r>
              <w:rPr>
                <w:sz w:val="16"/>
              </w:rPr>
              <w:t>Per-permutation re-studentisation</w:t>
            </w:r>
          </w:p>
        </w:tc>
        <w:tc>
          <w:tcPr>
            <w:tcW w:type="dxa" w:w="3969"/>
            <w:vAlign w:val="top"/>
            <w:tcMar>
              <w:top w:w="70" w:type="dxa"/>
              <w:start w:w="90" w:type="dxa"/>
              <w:bottom w:w="70" w:type="dxa"/>
              <w:end w:w="90" w:type="dxa"/>
            </w:tcMar>
          </w:tcPr>
          <w:p>
            <w:pPr>
              <w:spacing w:after="0"/>
            </w:pPr>
            <w:r>
              <w:rPr>
                <w:sz w:val="16"/>
              </w:rPr>
              <w:t>Studentized permutation construction</w:t>
            </w:r>
          </w:p>
        </w:tc>
        <w:tc>
          <w:tcPr>
            <w:tcW w:type="dxa" w:w="2608"/>
            <w:vAlign w:val="top"/>
            <w:tcMar>
              <w:top w:w="70" w:type="dxa"/>
              <w:start w:w="90" w:type="dxa"/>
              <w:bottom w:w="70" w:type="dxa"/>
              <w:end w:w="90" w:type="dxa"/>
            </w:tcMar>
          </w:tcPr>
          <w:p>
            <w:pPr>
              <w:spacing w:after="0"/>
            </w:pPr>
            <w:r>
              <w:rPr>
                <w:sz w:val="16"/>
              </w:rPr>
              <w:t>method-derived</w:t>
            </w:r>
          </w:p>
        </w:tc>
      </w:tr>
      <w:tr>
        <w:trPr>
          <w:cantSplit/>
        </w:trPr>
        <w:tc>
          <w:tcPr>
            <w:tcW w:type="dxa" w:w="2494"/>
            <w:vAlign w:val="top"/>
            <w:tcMar>
              <w:top w:w="70" w:type="dxa"/>
              <w:start w:w="90" w:type="dxa"/>
              <w:bottom w:w="70" w:type="dxa"/>
              <w:end w:w="90" w:type="dxa"/>
            </w:tcMar>
          </w:tcPr>
          <w:p>
            <w:pPr>
              <w:spacing w:after="0"/>
            </w:pPr>
            <w:r>
              <w:rPr>
                <w:sz w:val="16"/>
              </w:rPr>
              <w:t>Bandwidth rule</w:t>
            </w:r>
          </w:p>
        </w:tc>
        <w:tc>
          <w:tcPr>
            <w:tcW w:type="dxa" w:w="3969"/>
            <w:vAlign w:val="top"/>
            <w:tcMar>
              <w:top w:w="70" w:type="dxa"/>
              <w:start w:w="90" w:type="dxa"/>
              <w:bottom w:w="70" w:type="dxa"/>
              <w:end w:w="90" w:type="dxa"/>
            </w:tcMar>
          </w:tcPr>
          <w:p>
            <w:pPr>
              <w:spacing w:after="0"/>
            </w:pPr>
            <w:r>
              <w:rPr>
                <w:sz w:val="16"/>
              </w:rPr>
              <w:t>floor(n^(1/3)); realised b=2 at n=24</w:t>
            </w:r>
          </w:p>
        </w:tc>
        <w:tc>
          <w:tcPr>
            <w:tcW w:type="dxa" w:w="2608"/>
            <w:vAlign w:val="top"/>
            <w:tcMar>
              <w:top w:w="70" w:type="dxa"/>
              <w:start w:w="90" w:type="dxa"/>
              <w:bottom w:w="70" w:type="dxa"/>
              <w:end w:w="90" w:type="dxa"/>
            </w:tcMar>
          </w:tcPr>
          <w:p>
            <w:pPr>
              <w:spacing w:after="0"/>
            </w:pPr>
            <w:r>
              <w:rPr>
                <w:sz w:val="16"/>
              </w:rPr>
              <w:t>study-design defined</w:t>
            </w:r>
          </w:p>
        </w:tc>
      </w:tr>
      <w:tr>
        <w:trPr>
          <w:cantSplit/>
        </w:trPr>
        <w:tc>
          <w:tcPr>
            <w:tcW w:type="dxa" w:w="2494"/>
            <w:vAlign w:val="top"/>
            <w:tcMar>
              <w:top w:w="70" w:type="dxa"/>
              <w:start w:w="90" w:type="dxa"/>
              <w:bottom w:w="70" w:type="dxa"/>
              <w:end w:w="90" w:type="dxa"/>
            </w:tcMar>
          </w:tcPr>
          <w:p>
            <w:pPr>
              <w:spacing w:after="0"/>
            </w:pPr>
            <w:r>
              <w:rPr>
                <w:sz w:val="16"/>
              </w:rPr>
              <w:t>Variance floor</w:t>
            </w:r>
          </w:p>
        </w:tc>
        <w:tc>
          <w:tcPr>
            <w:tcW w:type="dxa" w:w="3969"/>
            <w:vAlign w:val="top"/>
            <w:tcMar>
              <w:top w:w="70" w:type="dxa"/>
              <w:start w:w="90" w:type="dxa"/>
              <w:bottom w:w="70" w:type="dxa"/>
              <w:end w:w="90" w:type="dxa"/>
            </w:tcMar>
          </w:tcPr>
          <w:p>
            <w:pPr>
              <w:spacing w:after="0"/>
            </w:pPr>
            <w:r>
              <w:rPr>
                <w:sz w:val="16"/>
              </w:rPr>
              <w:t>0.001</w:t>
            </w:r>
          </w:p>
        </w:tc>
        <w:tc>
          <w:tcPr>
            <w:tcW w:type="dxa" w:w="2608"/>
            <w:vAlign w:val="top"/>
            <w:tcMar>
              <w:top w:w="70" w:type="dxa"/>
              <w:start w:w="90" w:type="dxa"/>
              <w:bottom w:w="70" w:type="dxa"/>
              <w:end w:w="90" w:type="dxa"/>
            </w:tcMar>
          </w:tcPr>
          <w:p>
            <w:pPr>
              <w:spacing w:after="0"/>
            </w:pPr>
            <w:r>
              <w:rPr>
                <w:sz w:val="16"/>
              </w:rPr>
              <w:t>study-design defined</w:t>
            </w:r>
          </w:p>
        </w:tc>
      </w:tr>
      <w:tr>
        <w:trPr>
          <w:cantSplit/>
        </w:trPr>
        <w:tc>
          <w:tcPr>
            <w:tcW w:type="dxa" w:w="2494"/>
            <w:vAlign w:val="top"/>
            <w:tcMar>
              <w:top w:w="70" w:type="dxa"/>
              <w:start w:w="90" w:type="dxa"/>
              <w:bottom w:w="70" w:type="dxa"/>
              <w:end w:w="90" w:type="dxa"/>
            </w:tcMar>
          </w:tcPr>
          <w:p>
            <w:pPr>
              <w:spacing w:after="0"/>
            </w:pPr>
            <w:r>
              <w:rPr>
                <w:sz w:val="16"/>
              </w:rPr>
              <w:t>Permutation count</w:t>
            </w:r>
          </w:p>
        </w:tc>
        <w:tc>
          <w:tcPr>
            <w:tcW w:type="dxa" w:w="3969"/>
            <w:vAlign w:val="top"/>
            <w:tcMar>
              <w:top w:w="70" w:type="dxa"/>
              <w:start w:w="90" w:type="dxa"/>
              <w:bottom w:w="70" w:type="dxa"/>
              <w:end w:w="90" w:type="dxa"/>
            </w:tcMar>
          </w:tcPr>
          <w:p>
            <w:pPr>
              <w:spacing w:after="0"/>
            </w:pPr>
            <w:r>
              <w:rPr>
                <w:sz w:val="16"/>
              </w:rPr>
              <w:t>9,999</w:t>
            </w:r>
          </w:p>
        </w:tc>
        <w:tc>
          <w:tcPr>
            <w:tcW w:type="dxa" w:w="2608"/>
            <w:vAlign w:val="top"/>
            <w:tcMar>
              <w:top w:w="70" w:type="dxa"/>
              <w:start w:w="90" w:type="dxa"/>
              <w:bottom w:w="70" w:type="dxa"/>
              <w:end w:w="90" w:type="dxa"/>
            </w:tcMar>
          </w:tcPr>
          <w:p>
            <w:pPr>
              <w:spacing w:after="0"/>
            </w:pPr>
            <w:r>
              <w:rPr>
                <w:sz w:val="16"/>
              </w:rPr>
              <w:t>study-design defined</w:t>
            </w:r>
          </w:p>
        </w:tc>
      </w:tr>
      <w:tr>
        <w:trPr>
          <w:cantSplit/>
        </w:trPr>
        <w:tc>
          <w:tcPr>
            <w:tcW w:type="dxa" w:w="2494"/>
            <w:vAlign w:val="top"/>
            <w:tcMar>
              <w:top w:w="70" w:type="dxa"/>
              <w:start w:w="90" w:type="dxa"/>
              <w:bottom w:w="70" w:type="dxa"/>
              <w:end w:w="90" w:type="dxa"/>
            </w:tcMar>
          </w:tcPr>
          <w:p>
            <w:pPr>
              <w:spacing w:after="0"/>
            </w:pPr>
            <w:r>
              <w:rPr>
                <w:sz w:val="16"/>
              </w:rPr>
              <w:t>Alternative</w:t>
            </w:r>
          </w:p>
        </w:tc>
        <w:tc>
          <w:tcPr>
            <w:tcW w:type="dxa" w:w="3969"/>
            <w:vAlign w:val="top"/>
            <w:tcMar>
              <w:top w:w="70" w:type="dxa"/>
              <w:start w:w="90" w:type="dxa"/>
              <w:bottom w:w="70" w:type="dxa"/>
              <w:end w:w="90" w:type="dxa"/>
            </w:tcMar>
          </w:tcPr>
          <w:p>
            <w:pPr>
              <w:spacing w:after="0"/>
            </w:pPr>
            <w:r>
              <w:rPr>
                <w:sz w:val="16"/>
              </w:rPr>
              <w:t>two-sided absolute extremeness</w:t>
            </w:r>
          </w:p>
        </w:tc>
        <w:tc>
          <w:tcPr>
            <w:tcW w:type="dxa" w:w="2608"/>
            <w:vAlign w:val="top"/>
            <w:tcMar>
              <w:top w:w="70" w:type="dxa"/>
              <w:start w:w="90" w:type="dxa"/>
              <w:bottom w:w="70" w:type="dxa"/>
              <w:end w:w="90" w:type="dxa"/>
            </w:tcMar>
          </w:tcPr>
          <w:p>
            <w:pPr>
              <w:spacing w:after="0"/>
            </w:pPr>
            <w:r>
              <w:rPr>
                <w:sz w:val="16"/>
              </w:rPr>
              <w:t>study-design defined</w:t>
            </w:r>
          </w:p>
        </w:tc>
      </w:tr>
      <w:tr>
        <w:trPr>
          <w:cantSplit/>
        </w:trPr>
        <w:tc>
          <w:tcPr>
            <w:tcW w:type="dxa" w:w="2494"/>
            <w:vAlign w:val="top"/>
            <w:tcMar>
              <w:top w:w="70" w:type="dxa"/>
              <w:start w:w="90" w:type="dxa"/>
              <w:bottom w:w="70" w:type="dxa"/>
              <w:end w:w="90" w:type="dxa"/>
            </w:tcMar>
          </w:tcPr>
          <w:p>
            <w:pPr>
              <w:spacing w:after="0"/>
            </w:pPr>
            <w:r>
              <w:rPr>
                <w:sz w:val="16"/>
              </w:rPr>
              <w:t>Seed</w:t>
            </w:r>
          </w:p>
        </w:tc>
        <w:tc>
          <w:tcPr>
            <w:tcW w:type="dxa" w:w="3969"/>
            <w:vAlign w:val="top"/>
            <w:tcMar>
              <w:top w:w="70" w:type="dxa"/>
              <w:start w:w="90" w:type="dxa"/>
              <w:bottom w:w="70" w:type="dxa"/>
              <w:end w:w="90" w:type="dxa"/>
            </w:tcMar>
          </w:tcPr>
          <w:p>
            <w:pPr>
              <w:spacing w:after="0"/>
            </w:pPr>
            <w:r>
              <w:rPr>
                <w:sz w:val="16"/>
              </w:rPr>
              <w:t>20260822</w:t>
            </w:r>
          </w:p>
        </w:tc>
        <w:tc>
          <w:tcPr>
            <w:tcW w:type="dxa" w:w="2608"/>
            <w:vAlign w:val="top"/>
            <w:tcMar>
              <w:top w:w="70" w:type="dxa"/>
              <w:start w:w="90" w:type="dxa"/>
              <w:bottom w:w="70" w:type="dxa"/>
              <w:end w:w="90" w:type="dxa"/>
            </w:tcMar>
          </w:tcPr>
          <w:p>
            <w:pPr>
              <w:spacing w:after="0"/>
            </w:pPr>
            <w:r>
              <w:rPr>
                <w:sz w:val="16"/>
              </w:rPr>
              <w:t>computational reproducibility</w:t>
            </w:r>
          </w:p>
        </w:tc>
      </w:tr>
      <w:tr>
        <w:trPr>
          <w:cantSplit/>
        </w:trPr>
        <w:tc>
          <w:tcPr>
            <w:tcW w:type="dxa" w:w="2494"/>
            <w:vAlign w:val="top"/>
            <w:tcMar>
              <w:top w:w="70" w:type="dxa"/>
              <w:start w:w="90" w:type="dxa"/>
              <w:bottom w:w="70" w:type="dxa"/>
              <w:end w:w="90" w:type="dxa"/>
            </w:tcMar>
          </w:tcPr>
          <w:p>
            <w:pPr>
              <w:spacing w:after="0"/>
            </w:pPr>
            <w:r>
              <w:rPr>
                <w:sz w:val="16"/>
              </w:rPr>
              <w:t>Monte Carlo p-value</w:t>
            </w:r>
          </w:p>
        </w:tc>
        <w:tc>
          <w:tcPr>
            <w:tcW w:type="dxa" w:w="3969"/>
            <w:vAlign w:val="top"/>
            <w:tcMar>
              <w:top w:w="70" w:type="dxa"/>
              <w:start w:w="90" w:type="dxa"/>
              <w:bottom w:w="70" w:type="dxa"/>
              <w:end w:w="90" w:type="dxa"/>
            </w:tcMar>
          </w:tcPr>
          <w:p>
            <w:pPr>
              <w:spacing w:after="0"/>
            </w:pPr>
            <w:r>
              <w:rPr>
                <w:sz w:val="16"/>
              </w:rPr>
              <w:t>plus-one: (extreme+1)/(B+1)</w:t>
            </w:r>
          </w:p>
        </w:tc>
        <w:tc>
          <w:tcPr>
            <w:tcW w:type="dxa" w:w="2608"/>
            <w:vAlign w:val="top"/>
            <w:tcMar>
              <w:top w:w="70" w:type="dxa"/>
              <w:start w:w="90" w:type="dxa"/>
              <w:bottom w:w="70" w:type="dxa"/>
              <w:end w:w="90" w:type="dxa"/>
            </w:tcMar>
          </w:tcPr>
          <w:p>
            <w:pPr>
              <w:spacing w:after="0"/>
            </w:pPr>
            <w:r>
              <w:rPr>
                <w:sz w:val="16"/>
              </w:rPr>
              <w:t>study-design defined</w:t>
            </w:r>
          </w:p>
        </w:tc>
      </w:tr>
      <w:tr>
        <w:trPr>
          <w:cantSplit/>
        </w:trPr>
        <w:tc>
          <w:tcPr>
            <w:tcW w:type="dxa" w:w="2494"/>
            <w:vAlign w:val="top"/>
            <w:tcMar>
              <w:top w:w="70" w:type="dxa"/>
              <w:start w:w="90" w:type="dxa"/>
              <w:bottom w:w="70" w:type="dxa"/>
              <w:end w:w="90" w:type="dxa"/>
            </w:tcMar>
          </w:tcPr>
          <w:p>
            <w:pPr>
              <w:spacing w:after="0"/>
            </w:pPr>
            <w:r>
              <w:rPr>
                <w:sz w:val="16"/>
              </w:rPr>
              <w:t>Multiplicity</w:t>
            </w:r>
          </w:p>
        </w:tc>
        <w:tc>
          <w:tcPr>
            <w:tcW w:type="dxa" w:w="3969"/>
            <w:vAlign w:val="top"/>
            <w:tcMar>
              <w:top w:w="70" w:type="dxa"/>
              <w:start w:w="90" w:type="dxa"/>
              <w:bottom w:w="70" w:type="dxa"/>
              <w:end w:w="90" w:type="dxa"/>
            </w:tcMar>
          </w:tcPr>
          <w:p>
            <w:pPr>
              <w:spacing w:after="0"/>
            </w:pPr>
            <w:r>
              <w:rPr>
                <w:sz w:val="16"/>
              </w:rPr>
              <w:t>Benjamini-Hochberg over exactly five ACZ raw p-values</w:t>
            </w:r>
          </w:p>
        </w:tc>
        <w:tc>
          <w:tcPr>
            <w:tcW w:type="dxa" w:w="2608"/>
            <w:vAlign w:val="top"/>
            <w:tcMar>
              <w:top w:w="70" w:type="dxa"/>
              <w:start w:w="90" w:type="dxa"/>
              <w:bottom w:w="70" w:type="dxa"/>
              <w:end w:w="90" w:type="dxa"/>
            </w:tcMar>
          </w:tcPr>
          <w:p>
            <w:pPr>
              <w:spacing w:after="0"/>
            </w:pPr>
            <w:r>
              <w:rPr>
                <w:sz w:val="16"/>
              </w:rPr>
              <w:t>study-design defined</w:t>
            </w:r>
          </w:p>
        </w:tc>
      </w:tr>
    </w:tbl>
    <w:p>
      <w:r>
        <w:t>The supplied Romano-Tirlea paper uses floor(n^(1/3)) and epsilon=0.001 in simulations as practical choices; Theorem 3.4 admits a broader class of asymptotically admissible bandwidth sequences and does not uniquely mandate those finite-sample choices. The plus-one Monte Carlo rule is a governed project choice rather than being attributed solely to that theorem.</w:t>
      </w:r>
    </w:p>
    <w:p>
      <w:pPr>
        <w:pStyle w:val="Heading2"/>
      </w:pPr>
      <w:r>
        <w:t>6.4 Realised Ghana RQ2 result state</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871"/>
            <w:shd w:fill="D9E2F3"/>
            <w:vAlign w:val="center"/>
            <w:tcMar>
              <w:top w:w="70" w:type="dxa"/>
              <w:start w:w="90" w:type="dxa"/>
              <w:bottom w:w="70" w:type="dxa"/>
              <w:end w:w="90" w:type="dxa"/>
            </w:tcMar>
          </w:tcPr>
          <w:p>
            <w:r>
              <w:rPr>
                <w:b/>
                <w:sz w:val="17"/>
              </w:rPr>
              <w:t>ACZ</w:t>
            </w:r>
          </w:p>
        </w:tc>
        <w:tc>
          <w:tcPr>
            <w:tcW w:type="dxa" w:w="1701"/>
            <w:shd w:fill="D9E2F3"/>
            <w:vAlign w:val="center"/>
            <w:tcMar>
              <w:top w:w="70" w:type="dxa"/>
              <w:start w:w="90" w:type="dxa"/>
              <w:bottom w:w="70" w:type="dxa"/>
              <w:end w:w="90" w:type="dxa"/>
            </w:tcMar>
          </w:tcPr>
          <w:p>
            <w:r>
              <w:rPr>
                <w:b/>
                <w:sz w:val="17"/>
              </w:rPr>
              <w:t>Sen slope / year</w:t>
            </w:r>
          </w:p>
        </w:tc>
        <w:tc>
          <w:tcPr>
            <w:tcW w:type="dxa" w:w="1134"/>
            <w:shd w:fill="D9E2F3"/>
            <w:vAlign w:val="center"/>
            <w:tcMar>
              <w:top w:w="70" w:type="dxa"/>
              <w:start w:w="90" w:type="dxa"/>
              <w:bottom w:w="70" w:type="dxa"/>
              <w:end w:w="90" w:type="dxa"/>
            </w:tcMar>
          </w:tcPr>
          <w:p>
            <w:r>
              <w:rPr>
                <w:b/>
                <w:sz w:val="17"/>
              </w:rPr>
              <w:t>Extreme</w:t>
            </w:r>
          </w:p>
        </w:tc>
        <w:tc>
          <w:tcPr>
            <w:tcW w:type="dxa" w:w="1134"/>
            <w:shd w:fill="D9E2F3"/>
            <w:vAlign w:val="center"/>
            <w:tcMar>
              <w:top w:w="70" w:type="dxa"/>
              <w:start w:w="90" w:type="dxa"/>
              <w:bottom w:w="70" w:type="dxa"/>
              <w:end w:w="90" w:type="dxa"/>
            </w:tcMar>
          </w:tcPr>
          <w:p>
            <w:r>
              <w:rPr>
                <w:b/>
                <w:sz w:val="17"/>
              </w:rPr>
              <w:t>Raw p</w:t>
            </w:r>
          </w:p>
        </w:tc>
        <w:tc>
          <w:tcPr>
            <w:tcW w:type="dxa" w:w="1361"/>
            <w:shd w:fill="D9E2F3"/>
            <w:vAlign w:val="center"/>
            <w:tcMar>
              <w:top w:w="70" w:type="dxa"/>
              <w:start w:w="90" w:type="dxa"/>
              <w:bottom w:w="70" w:type="dxa"/>
              <w:end w:w="90" w:type="dxa"/>
            </w:tcMar>
          </w:tcPr>
          <w:p>
            <w:r>
              <w:rPr>
                <w:b/>
                <w:sz w:val="17"/>
              </w:rPr>
              <w:t>BH q</w:t>
            </w:r>
          </w:p>
        </w:tc>
        <w:tc>
          <w:tcPr>
            <w:tcW w:type="dxa" w:w="1417"/>
            <w:shd w:fill="D9E2F3"/>
            <w:vAlign w:val="center"/>
            <w:tcMar>
              <w:top w:w="70" w:type="dxa"/>
              <w:start w:w="90" w:type="dxa"/>
              <w:bottom w:w="70" w:type="dxa"/>
              <w:end w:w="90" w:type="dxa"/>
            </w:tcMar>
          </w:tcPr>
          <w:p>
            <w:r>
              <w:rPr>
                <w:b/>
                <w:sz w:val="17"/>
              </w:rPr>
              <w:t>BH q &lt; 0.05</w:t>
            </w:r>
          </w:p>
        </w:tc>
      </w:tr>
      <w:tr>
        <w:trPr>
          <w:cantSplit/>
        </w:trPr>
        <w:tc>
          <w:tcPr>
            <w:tcW w:type="dxa" w:w="1871"/>
            <w:vAlign w:val="top"/>
            <w:tcMar>
              <w:top w:w="70" w:type="dxa"/>
              <w:start w:w="90" w:type="dxa"/>
              <w:bottom w:w="70" w:type="dxa"/>
              <w:end w:w="90" w:type="dxa"/>
            </w:tcMar>
          </w:tcPr>
          <w:p>
            <w:pPr>
              <w:spacing w:after="0"/>
            </w:pPr>
            <w:r>
              <w:rPr>
                <w:sz w:val="16"/>
              </w:rPr>
              <w:t>Coastal Zone</w:t>
            </w:r>
          </w:p>
        </w:tc>
        <w:tc>
          <w:tcPr>
            <w:tcW w:type="dxa" w:w="1701"/>
            <w:vAlign w:val="top"/>
            <w:tcMar>
              <w:top w:w="70" w:type="dxa"/>
              <w:start w:w="90" w:type="dxa"/>
              <w:bottom w:w="70" w:type="dxa"/>
              <w:end w:w="90" w:type="dxa"/>
            </w:tcMar>
          </w:tcPr>
          <w:p>
            <w:pPr>
              <w:spacing w:after="0"/>
            </w:pPr>
            <w:r>
              <w:rPr>
                <w:sz w:val="16"/>
              </w:rPr>
              <w:t>-0.1647449475</w:t>
            </w:r>
          </w:p>
        </w:tc>
        <w:tc>
          <w:tcPr>
            <w:tcW w:type="dxa" w:w="1134"/>
            <w:vAlign w:val="top"/>
            <w:tcMar>
              <w:top w:w="70" w:type="dxa"/>
              <w:start w:w="90" w:type="dxa"/>
              <w:bottom w:w="70" w:type="dxa"/>
              <w:end w:w="90" w:type="dxa"/>
            </w:tcMar>
          </w:tcPr>
          <w:p>
            <w:pPr>
              <w:spacing w:after="0"/>
            </w:pPr>
            <w:r>
              <w:rPr>
                <w:sz w:val="16"/>
              </w:rPr>
              <w:t>2321</w:t>
            </w:r>
          </w:p>
        </w:tc>
        <w:tc>
          <w:tcPr>
            <w:tcW w:type="dxa" w:w="1134"/>
            <w:vAlign w:val="top"/>
            <w:tcMar>
              <w:top w:w="70" w:type="dxa"/>
              <w:start w:w="90" w:type="dxa"/>
              <w:bottom w:w="70" w:type="dxa"/>
              <w:end w:w="90" w:type="dxa"/>
            </w:tcMar>
          </w:tcPr>
          <w:p>
            <w:pPr>
              <w:spacing w:after="0"/>
            </w:pPr>
            <w:r>
              <w:rPr>
                <w:sz w:val="16"/>
              </w:rPr>
              <w:t>0.2322</w:t>
            </w:r>
          </w:p>
        </w:tc>
        <w:tc>
          <w:tcPr>
            <w:tcW w:type="dxa" w:w="1361"/>
            <w:vAlign w:val="top"/>
            <w:tcMar>
              <w:top w:w="70" w:type="dxa"/>
              <w:start w:w="90" w:type="dxa"/>
              <w:bottom w:w="70" w:type="dxa"/>
              <w:end w:w="90" w:type="dxa"/>
            </w:tcMar>
          </w:tcPr>
          <w:p>
            <w:pPr>
              <w:spacing w:after="0"/>
            </w:pPr>
            <w:r>
              <w:rPr>
                <w:sz w:val="16"/>
              </w:rPr>
              <w:t>0.290250</w:t>
            </w:r>
          </w:p>
        </w:tc>
        <w:tc>
          <w:tcPr>
            <w:tcW w:type="dxa" w:w="1417"/>
            <w:vAlign w:val="top"/>
            <w:tcMar>
              <w:top w:w="70" w:type="dxa"/>
              <w:start w:w="90" w:type="dxa"/>
              <w:bottom w:w="70" w:type="dxa"/>
              <w:end w:w="90" w:type="dxa"/>
            </w:tcMar>
          </w:tcPr>
          <w:p>
            <w:pPr>
              <w:spacing w:after="0"/>
            </w:pPr>
            <w:r>
              <w:rPr>
                <w:sz w:val="16"/>
              </w:rPr>
              <w:t>No</w:t>
            </w:r>
          </w:p>
        </w:tc>
      </w:tr>
      <w:tr>
        <w:trPr>
          <w:cantSplit/>
        </w:trPr>
        <w:tc>
          <w:tcPr>
            <w:tcW w:type="dxa" w:w="1871"/>
            <w:vAlign w:val="top"/>
            <w:tcMar>
              <w:top w:w="70" w:type="dxa"/>
              <w:start w:w="90" w:type="dxa"/>
              <w:bottom w:w="70" w:type="dxa"/>
              <w:end w:w="90" w:type="dxa"/>
            </w:tcMar>
          </w:tcPr>
          <w:p>
            <w:pPr>
              <w:spacing w:after="0"/>
            </w:pPr>
            <w:r>
              <w:rPr>
                <w:sz w:val="16"/>
              </w:rPr>
              <w:t>Forest Zone</w:t>
            </w:r>
          </w:p>
        </w:tc>
        <w:tc>
          <w:tcPr>
            <w:tcW w:type="dxa" w:w="1701"/>
            <w:vAlign w:val="top"/>
            <w:tcMar>
              <w:top w:w="70" w:type="dxa"/>
              <w:start w:w="90" w:type="dxa"/>
              <w:bottom w:w="70" w:type="dxa"/>
              <w:end w:w="90" w:type="dxa"/>
            </w:tcMar>
          </w:tcPr>
          <w:p>
            <w:pPr>
              <w:spacing w:after="0"/>
            </w:pPr>
            <w:r>
              <w:rPr>
                <w:sz w:val="16"/>
              </w:rPr>
              <w:t>-0.0531408764</w:t>
            </w:r>
          </w:p>
        </w:tc>
        <w:tc>
          <w:tcPr>
            <w:tcW w:type="dxa" w:w="1134"/>
            <w:vAlign w:val="top"/>
            <w:tcMar>
              <w:top w:w="70" w:type="dxa"/>
              <w:start w:w="90" w:type="dxa"/>
              <w:bottom w:w="70" w:type="dxa"/>
              <w:end w:w="90" w:type="dxa"/>
            </w:tcMar>
          </w:tcPr>
          <w:p>
            <w:pPr>
              <w:spacing w:after="0"/>
            </w:pPr>
            <w:r>
              <w:rPr>
                <w:sz w:val="16"/>
              </w:rPr>
              <w:t>5740</w:t>
            </w:r>
          </w:p>
        </w:tc>
        <w:tc>
          <w:tcPr>
            <w:tcW w:type="dxa" w:w="1134"/>
            <w:vAlign w:val="top"/>
            <w:tcMar>
              <w:top w:w="70" w:type="dxa"/>
              <w:start w:w="90" w:type="dxa"/>
              <w:bottom w:w="70" w:type="dxa"/>
              <w:end w:w="90" w:type="dxa"/>
            </w:tcMar>
          </w:tcPr>
          <w:p>
            <w:pPr>
              <w:spacing w:after="0"/>
            </w:pPr>
            <w:r>
              <w:rPr>
                <w:sz w:val="16"/>
              </w:rPr>
              <w:t>0.5741</w:t>
            </w:r>
          </w:p>
        </w:tc>
        <w:tc>
          <w:tcPr>
            <w:tcW w:type="dxa" w:w="1361"/>
            <w:vAlign w:val="top"/>
            <w:tcMar>
              <w:top w:w="70" w:type="dxa"/>
              <w:start w:w="90" w:type="dxa"/>
              <w:bottom w:w="70" w:type="dxa"/>
              <w:end w:w="90" w:type="dxa"/>
            </w:tcMar>
          </w:tcPr>
          <w:p>
            <w:pPr>
              <w:spacing w:after="0"/>
            </w:pPr>
            <w:r>
              <w:rPr>
                <w:sz w:val="16"/>
              </w:rPr>
              <w:t>0.574100</w:t>
            </w:r>
          </w:p>
        </w:tc>
        <w:tc>
          <w:tcPr>
            <w:tcW w:type="dxa" w:w="1417"/>
            <w:vAlign w:val="top"/>
            <w:tcMar>
              <w:top w:w="70" w:type="dxa"/>
              <w:start w:w="90" w:type="dxa"/>
              <w:bottom w:w="70" w:type="dxa"/>
              <w:end w:w="90" w:type="dxa"/>
            </w:tcMar>
          </w:tcPr>
          <w:p>
            <w:pPr>
              <w:spacing w:after="0"/>
            </w:pPr>
            <w:r>
              <w:rPr>
                <w:sz w:val="16"/>
              </w:rPr>
              <w:t>No</w:t>
            </w:r>
          </w:p>
        </w:tc>
      </w:tr>
      <w:tr>
        <w:trPr>
          <w:cantSplit/>
        </w:trPr>
        <w:tc>
          <w:tcPr>
            <w:tcW w:type="dxa" w:w="1871"/>
            <w:vAlign w:val="top"/>
            <w:tcMar>
              <w:top w:w="70" w:type="dxa"/>
              <w:start w:w="90" w:type="dxa"/>
              <w:bottom w:w="70" w:type="dxa"/>
              <w:end w:w="90" w:type="dxa"/>
            </w:tcMar>
          </w:tcPr>
          <w:p>
            <w:pPr>
              <w:spacing w:after="0"/>
            </w:pPr>
            <w:r>
              <w:rPr>
                <w:sz w:val="16"/>
              </w:rPr>
              <w:t>Guinea Savannah</w:t>
            </w:r>
          </w:p>
        </w:tc>
        <w:tc>
          <w:tcPr>
            <w:tcW w:type="dxa" w:w="1701"/>
            <w:vAlign w:val="top"/>
            <w:tcMar>
              <w:top w:w="70" w:type="dxa"/>
              <w:start w:w="90" w:type="dxa"/>
              <w:bottom w:w="70" w:type="dxa"/>
              <w:end w:w="90" w:type="dxa"/>
            </w:tcMar>
          </w:tcPr>
          <w:p>
            <w:pPr>
              <w:spacing w:after="0"/>
            </w:pPr>
            <w:r>
              <w:rPr>
                <w:sz w:val="16"/>
              </w:rPr>
              <w:t>-0.4502995257</w:t>
            </w:r>
          </w:p>
        </w:tc>
        <w:tc>
          <w:tcPr>
            <w:tcW w:type="dxa" w:w="1134"/>
            <w:vAlign w:val="top"/>
            <w:tcMar>
              <w:top w:w="70" w:type="dxa"/>
              <w:start w:w="90" w:type="dxa"/>
              <w:bottom w:w="70" w:type="dxa"/>
              <w:end w:w="90" w:type="dxa"/>
            </w:tcMar>
          </w:tcPr>
          <w:p>
            <w:pPr>
              <w:spacing w:after="0"/>
            </w:pPr>
            <w:r>
              <w:rPr>
                <w:sz w:val="16"/>
              </w:rPr>
              <w:t>832</w:t>
            </w:r>
          </w:p>
        </w:tc>
        <w:tc>
          <w:tcPr>
            <w:tcW w:type="dxa" w:w="1134"/>
            <w:vAlign w:val="top"/>
            <w:tcMar>
              <w:top w:w="70" w:type="dxa"/>
              <w:start w:w="90" w:type="dxa"/>
              <w:bottom w:w="70" w:type="dxa"/>
              <w:end w:w="90" w:type="dxa"/>
            </w:tcMar>
          </w:tcPr>
          <w:p>
            <w:pPr>
              <w:spacing w:after="0"/>
            </w:pPr>
            <w:r>
              <w:rPr>
                <w:sz w:val="16"/>
              </w:rPr>
              <w:t>0.0833</w:t>
            </w:r>
          </w:p>
        </w:tc>
        <w:tc>
          <w:tcPr>
            <w:tcW w:type="dxa" w:w="1361"/>
            <w:vAlign w:val="top"/>
            <w:tcMar>
              <w:top w:w="70" w:type="dxa"/>
              <w:start w:w="90" w:type="dxa"/>
              <w:bottom w:w="70" w:type="dxa"/>
              <w:end w:w="90" w:type="dxa"/>
            </w:tcMar>
          </w:tcPr>
          <w:p>
            <w:pPr>
              <w:spacing w:after="0"/>
            </w:pPr>
            <w:r>
              <w:rPr>
                <w:sz w:val="16"/>
              </w:rPr>
              <w:t>0.208250</w:t>
            </w:r>
          </w:p>
        </w:tc>
        <w:tc>
          <w:tcPr>
            <w:tcW w:type="dxa" w:w="1417"/>
            <w:vAlign w:val="top"/>
            <w:tcMar>
              <w:top w:w="70" w:type="dxa"/>
              <w:start w:w="90" w:type="dxa"/>
              <w:bottom w:w="70" w:type="dxa"/>
              <w:end w:w="90" w:type="dxa"/>
            </w:tcMar>
          </w:tcPr>
          <w:p>
            <w:pPr>
              <w:spacing w:after="0"/>
            </w:pPr>
            <w:r>
              <w:rPr>
                <w:sz w:val="16"/>
              </w:rPr>
              <w:t>No</w:t>
            </w:r>
          </w:p>
        </w:tc>
      </w:tr>
      <w:tr>
        <w:trPr>
          <w:cantSplit/>
        </w:trPr>
        <w:tc>
          <w:tcPr>
            <w:tcW w:type="dxa" w:w="1871"/>
            <w:vAlign w:val="top"/>
            <w:tcMar>
              <w:top w:w="70" w:type="dxa"/>
              <w:start w:w="90" w:type="dxa"/>
              <w:bottom w:w="70" w:type="dxa"/>
              <w:end w:w="90" w:type="dxa"/>
            </w:tcMar>
          </w:tcPr>
          <w:p>
            <w:pPr>
              <w:spacing w:after="0"/>
            </w:pPr>
            <w:r>
              <w:rPr>
                <w:sz w:val="16"/>
              </w:rPr>
              <w:t>Sudan Savannah</w:t>
            </w:r>
          </w:p>
        </w:tc>
        <w:tc>
          <w:tcPr>
            <w:tcW w:type="dxa" w:w="1701"/>
            <w:vAlign w:val="top"/>
            <w:tcMar>
              <w:top w:w="70" w:type="dxa"/>
              <w:start w:w="90" w:type="dxa"/>
              <w:bottom w:w="70" w:type="dxa"/>
              <w:end w:w="90" w:type="dxa"/>
            </w:tcMar>
          </w:tcPr>
          <w:p>
            <w:pPr>
              <w:spacing w:after="0"/>
            </w:pPr>
            <w:r>
              <w:rPr>
                <w:sz w:val="16"/>
              </w:rPr>
              <w:t>-0.5015820537</w:t>
            </w:r>
          </w:p>
        </w:tc>
        <w:tc>
          <w:tcPr>
            <w:tcW w:type="dxa" w:w="1134"/>
            <w:vAlign w:val="top"/>
            <w:tcMar>
              <w:top w:w="70" w:type="dxa"/>
              <w:start w:w="90" w:type="dxa"/>
              <w:bottom w:w="70" w:type="dxa"/>
              <w:end w:w="90" w:type="dxa"/>
            </w:tcMar>
          </w:tcPr>
          <w:p>
            <w:pPr>
              <w:spacing w:after="0"/>
            </w:pPr>
            <w:r>
              <w:rPr>
                <w:sz w:val="16"/>
              </w:rPr>
              <w:t>1371</w:t>
            </w:r>
          </w:p>
        </w:tc>
        <w:tc>
          <w:tcPr>
            <w:tcW w:type="dxa" w:w="1134"/>
            <w:vAlign w:val="top"/>
            <w:tcMar>
              <w:top w:w="70" w:type="dxa"/>
              <w:start w:w="90" w:type="dxa"/>
              <w:bottom w:w="70" w:type="dxa"/>
              <w:end w:w="90" w:type="dxa"/>
            </w:tcMar>
          </w:tcPr>
          <w:p>
            <w:pPr>
              <w:spacing w:after="0"/>
            </w:pPr>
            <w:r>
              <w:rPr>
                <w:sz w:val="16"/>
              </w:rPr>
              <w:t>0.1372</w:t>
            </w:r>
          </w:p>
        </w:tc>
        <w:tc>
          <w:tcPr>
            <w:tcW w:type="dxa" w:w="1361"/>
            <w:vAlign w:val="top"/>
            <w:tcMar>
              <w:top w:w="70" w:type="dxa"/>
              <w:start w:w="90" w:type="dxa"/>
              <w:bottom w:w="70" w:type="dxa"/>
              <w:end w:w="90" w:type="dxa"/>
            </w:tcMar>
          </w:tcPr>
          <w:p>
            <w:pPr>
              <w:spacing w:after="0"/>
            </w:pPr>
            <w:r>
              <w:rPr>
                <w:sz w:val="16"/>
              </w:rPr>
              <w:t>0.228667</w:t>
            </w:r>
          </w:p>
        </w:tc>
        <w:tc>
          <w:tcPr>
            <w:tcW w:type="dxa" w:w="1417"/>
            <w:vAlign w:val="top"/>
            <w:tcMar>
              <w:top w:w="70" w:type="dxa"/>
              <w:start w:w="90" w:type="dxa"/>
              <w:bottom w:w="70" w:type="dxa"/>
              <w:end w:w="90" w:type="dxa"/>
            </w:tcMar>
          </w:tcPr>
          <w:p>
            <w:pPr>
              <w:spacing w:after="0"/>
            </w:pPr>
            <w:r>
              <w:rPr>
                <w:sz w:val="16"/>
              </w:rPr>
              <w:t>No</w:t>
            </w:r>
          </w:p>
        </w:tc>
      </w:tr>
      <w:tr>
        <w:trPr>
          <w:cantSplit/>
        </w:trPr>
        <w:tc>
          <w:tcPr>
            <w:tcW w:type="dxa" w:w="1871"/>
            <w:vAlign w:val="top"/>
            <w:tcMar>
              <w:top w:w="70" w:type="dxa"/>
              <w:start w:w="90" w:type="dxa"/>
              <w:bottom w:w="70" w:type="dxa"/>
              <w:end w:w="90" w:type="dxa"/>
            </w:tcMar>
          </w:tcPr>
          <w:p>
            <w:pPr>
              <w:spacing w:after="0"/>
            </w:pPr>
            <w:r>
              <w:rPr>
                <w:sz w:val="16"/>
              </w:rPr>
              <w:t>Transition Zone</w:t>
            </w:r>
          </w:p>
        </w:tc>
        <w:tc>
          <w:tcPr>
            <w:tcW w:type="dxa" w:w="1701"/>
            <w:vAlign w:val="top"/>
            <w:tcMar>
              <w:top w:w="70" w:type="dxa"/>
              <w:start w:w="90" w:type="dxa"/>
              <w:bottom w:w="70" w:type="dxa"/>
              <w:end w:w="90" w:type="dxa"/>
            </w:tcMar>
          </w:tcPr>
          <w:p>
            <w:pPr>
              <w:spacing w:after="0"/>
            </w:pPr>
            <w:r>
              <w:rPr>
                <w:sz w:val="16"/>
              </w:rPr>
              <w:t>-0.6753271232</w:t>
            </w:r>
          </w:p>
        </w:tc>
        <w:tc>
          <w:tcPr>
            <w:tcW w:type="dxa" w:w="1134"/>
            <w:vAlign w:val="top"/>
            <w:tcMar>
              <w:top w:w="70" w:type="dxa"/>
              <w:start w:w="90" w:type="dxa"/>
              <w:bottom w:w="70" w:type="dxa"/>
              <w:end w:w="90" w:type="dxa"/>
            </w:tcMar>
          </w:tcPr>
          <w:p>
            <w:pPr>
              <w:spacing w:after="0"/>
            </w:pPr>
            <w:r>
              <w:rPr>
                <w:sz w:val="16"/>
              </w:rPr>
              <w:t>570</w:t>
            </w:r>
          </w:p>
        </w:tc>
        <w:tc>
          <w:tcPr>
            <w:tcW w:type="dxa" w:w="1134"/>
            <w:vAlign w:val="top"/>
            <w:tcMar>
              <w:top w:w="70" w:type="dxa"/>
              <w:start w:w="90" w:type="dxa"/>
              <w:bottom w:w="70" w:type="dxa"/>
              <w:end w:w="90" w:type="dxa"/>
            </w:tcMar>
          </w:tcPr>
          <w:p>
            <w:pPr>
              <w:spacing w:after="0"/>
            </w:pPr>
            <w:r>
              <w:rPr>
                <w:sz w:val="16"/>
              </w:rPr>
              <w:t>0.0571</w:t>
            </w:r>
          </w:p>
        </w:tc>
        <w:tc>
          <w:tcPr>
            <w:tcW w:type="dxa" w:w="1361"/>
            <w:vAlign w:val="top"/>
            <w:tcMar>
              <w:top w:w="70" w:type="dxa"/>
              <w:start w:w="90" w:type="dxa"/>
              <w:bottom w:w="70" w:type="dxa"/>
              <w:end w:w="90" w:type="dxa"/>
            </w:tcMar>
          </w:tcPr>
          <w:p>
            <w:pPr>
              <w:spacing w:after="0"/>
            </w:pPr>
            <w:r>
              <w:rPr>
                <w:sz w:val="16"/>
              </w:rPr>
              <w:t>0.208250</w:t>
            </w:r>
          </w:p>
        </w:tc>
        <w:tc>
          <w:tcPr>
            <w:tcW w:type="dxa" w:w="1417"/>
            <w:vAlign w:val="top"/>
            <w:tcMar>
              <w:top w:w="70" w:type="dxa"/>
              <w:start w:w="90" w:type="dxa"/>
              <w:bottom w:w="70" w:type="dxa"/>
              <w:end w:w="90" w:type="dxa"/>
            </w:tcMar>
          </w:tcPr>
          <w:p>
            <w:pPr>
              <w:spacing w:after="0"/>
            </w:pPr>
            <w:r>
              <w:rPr>
                <w:sz w:val="16"/>
              </w:rPr>
              <w:t>No</w:t>
            </w:r>
          </w:p>
        </w:tc>
      </w:tr>
    </w:tbl>
    <w:p>
      <w:r>
        <w:t>All five Sen slopes are negative, but none has BH-FDR-supported evidence of monotonic decline at alpha 0.05. This is an observational inferential statement, not a causal conclusion.</w:t>
      </w:r>
    </w:p>
    <w:p>
      <w:pPr>
        <w:pStyle w:val="Heading1"/>
      </w:pPr>
      <w:r>
        <w:t>7. RQ3 - observation-system correspondence in VIIRS-positive district-months</w:t>
      </w:r>
    </w:p>
    <w:p>
      <w:pPr>
        <w:pStyle w:val="Heading2"/>
      </w:pPr>
      <w:r>
        <w:t>7.1 Population and outcome</w:t>
      </w:r>
    </w:p>
    <w:p>
      <w:r>
        <w:t>The descriptive paired population contains 38,595 district-months across 249 districts from February 2012 to December 2024. Primary regression is restricted to 22,939 VIIRS-positive district-months. Y=1 denotes VIIRS positive with MCD64A1 mapped burned area absent; Y=0 denotes VIIRS positive with mapped burned area present. The estimand concerns observation-system correspondence, not the probability that a true fire was missed.</w:t>
      </w:r>
    </w:p>
    <w:p>
      <w:pPr>
        <w:pStyle w:val="Heading2"/>
      </w:pPr>
      <w:r>
        <w:t>7.2 Predictors and design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D9E2F3"/>
            <w:vAlign w:val="center"/>
            <w:tcMar>
              <w:top w:w="70" w:type="dxa"/>
              <w:start w:w="90" w:type="dxa"/>
              <w:bottom w:w="70" w:type="dxa"/>
              <w:end w:w="90" w:type="dxa"/>
            </w:tcMar>
          </w:tcPr>
          <w:p>
            <w:r>
              <w:rPr>
                <w:b/>
                <w:sz w:val="17"/>
              </w:rPr>
              <w:t>Role</w:t>
            </w:r>
          </w:p>
        </w:tc>
        <w:tc>
          <w:tcPr>
            <w:tcW w:type="dxa" w:w="6803"/>
            <w:shd w:fill="D9E2F3"/>
            <w:vAlign w:val="center"/>
            <w:tcMar>
              <w:top w:w="70" w:type="dxa"/>
              <w:start w:w="90" w:type="dxa"/>
              <w:bottom w:w="70" w:type="dxa"/>
              <w:end w:w="90" w:type="dxa"/>
            </w:tcMar>
          </w:tcPr>
          <w:p>
            <w:r>
              <w:rPr>
                <w:b/>
                <w:sz w:val="17"/>
              </w:rPr>
              <w:t>Field/coding</w:t>
            </w:r>
          </w:p>
        </w:tc>
      </w:tr>
      <w:tr>
        <w:trPr>
          <w:cantSplit/>
        </w:trPr>
        <w:tc>
          <w:tcPr>
            <w:tcW w:type="dxa" w:w="2268"/>
            <w:vAlign w:val="top"/>
            <w:tcMar>
              <w:top w:w="70" w:type="dxa"/>
              <w:start w:w="90" w:type="dxa"/>
              <w:bottom w:w="70" w:type="dxa"/>
              <w:end w:w="90" w:type="dxa"/>
            </w:tcMar>
          </w:tcPr>
          <w:p>
            <w:pPr>
              <w:spacing w:after="0"/>
            </w:pPr>
            <w:r>
              <w:rPr>
                <w:sz w:val="16"/>
              </w:rPr>
              <w:t>Focal</w:t>
            </w:r>
          </w:p>
        </w:tc>
        <w:tc>
          <w:tcPr>
            <w:tcW w:type="dxa" w:w="6803"/>
            <w:vAlign w:val="top"/>
            <w:tcMar>
              <w:top w:w="70" w:type="dxa"/>
              <w:start w:w="90" w:type="dxa"/>
              <w:bottom w:w="70" w:type="dxa"/>
              <w:end w:w="90" w:type="dxa"/>
            </w:tcMar>
          </w:tcPr>
          <w:p>
            <w:pPr>
              <w:spacing w:after="0"/>
            </w:pPr>
            <w:r>
              <w:rPr>
                <w:sz w:val="16"/>
              </w:rPr>
              <w:t>log2(viirs_det_primary)</w:t>
            </w:r>
          </w:p>
        </w:tc>
      </w:tr>
      <w:tr>
        <w:trPr>
          <w:cantSplit/>
        </w:trPr>
        <w:tc>
          <w:tcPr>
            <w:tcW w:type="dxa" w:w="2268"/>
            <w:vAlign w:val="top"/>
            <w:tcMar>
              <w:top w:w="70" w:type="dxa"/>
              <w:start w:w="90" w:type="dxa"/>
              <w:bottom w:w="70" w:type="dxa"/>
              <w:end w:w="90" w:type="dxa"/>
            </w:tcMar>
          </w:tcPr>
          <w:p>
            <w:pPr>
              <w:spacing w:after="0"/>
            </w:pPr>
            <w:r>
              <w:rPr>
                <w:sz w:val="16"/>
              </w:rPr>
              <w:t>Focal</w:t>
            </w:r>
          </w:p>
        </w:tc>
        <w:tc>
          <w:tcPr>
            <w:tcW w:type="dxa" w:w="6803"/>
            <w:vAlign w:val="top"/>
            <w:tcMar>
              <w:top w:w="70" w:type="dxa"/>
              <w:start w:w="90" w:type="dxa"/>
              <w:bottom w:w="70" w:type="dxa"/>
              <w:end w:w="90" w:type="dxa"/>
            </w:tcMar>
          </w:tcPr>
          <w:p>
            <w:pPr>
              <w:spacing w:after="0"/>
            </w:pPr>
            <w:r>
              <w:rPr>
                <w:sz w:val="16"/>
              </w:rPr>
              <w:t>log2(viirs_frp_mean_mw)</w:t>
            </w:r>
          </w:p>
        </w:tc>
      </w:tr>
      <w:tr>
        <w:trPr>
          <w:cantSplit/>
        </w:trPr>
        <w:tc>
          <w:tcPr>
            <w:tcW w:type="dxa" w:w="2268"/>
            <w:vAlign w:val="top"/>
            <w:tcMar>
              <w:top w:w="70" w:type="dxa"/>
              <w:start w:w="90" w:type="dxa"/>
              <w:bottom w:w="70" w:type="dxa"/>
              <w:end w:w="90" w:type="dxa"/>
            </w:tcMar>
          </w:tcPr>
          <w:p>
            <w:pPr>
              <w:spacing w:after="0"/>
            </w:pPr>
            <w:r>
              <w:rPr>
                <w:sz w:val="16"/>
              </w:rPr>
              <w:t>Adjustment</w:t>
            </w:r>
          </w:p>
        </w:tc>
        <w:tc>
          <w:tcPr>
            <w:tcW w:type="dxa" w:w="6803"/>
            <w:vAlign w:val="top"/>
            <w:tcMar>
              <w:top w:w="70" w:type="dxa"/>
              <w:start w:w="90" w:type="dxa"/>
              <w:bottom w:w="70" w:type="dxa"/>
              <w:end w:w="90" w:type="dxa"/>
            </w:tcMar>
          </w:tcPr>
          <w:p>
            <w:pPr>
              <w:spacing w:after="0"/>
            </w:pPr>
            <w:r>
              <w:rPr>
                <w:sz w:val="16"/>
              </w:rPr>
              <w:t>log2(modis_burnable_km2_union_ba2012)</w:t>
            </w:r>
          </w:p>
        </w:tc>
      </w:tr>
      <w:tr>
        <w:trPr>
          <w:cantSplit/>
        </w:trPr>
        <w:tc>
          <w:tcPr>
            <w:tcW w:type="dxa" w:w="2268"/>
            <w:vAlign w:val="top"/>
            <w:tcMar>
              <w:top w:w="70" w:type="dxa"/>
              <w:start w:w="90" w:type="dxa"/>
              <w:bottom w:w="70" w:type="dxa"/>
              <w:end w:w="90" w:type="dxa"/>
            </w:tcMar>
          </w:tcPr>
          <w:p>
            <w:pPr>
              <w:spacing w:after="0"/>
            </w:pPr>
            <w:r>
              <w:rPr>
                <w:sz w:val="16"/>
              </w:rPr>
              <w:t>Adjustment</w:t>
            </w:r>
          </w:p>
        </w:tc>
        <w:tc>
          <w:tcPr>
            <w:tcW w:type="dxa" w:w="6803"/>
            <w:vAlign w:val="top"/>
            <w:tcMar>
              <w:top w:w="70" w:type="dxa"/>
              <w:start w:w="90" w:type="dxa"/>
              <w:bottom w:w="70" w:type="dxa"/>
              <w:end w:w="90" w:type="dxa"/>
            </w:tcMar>
          </w:tcPr>
          <w:p>
            <w:pPr>
              <w:spacing w:after="0"/>
            </w:pPr>
            <w:r>
              <w:rPr>
                <w:sz w:val="16"/>
              </w:rPr>
              <w:t>Month categorical; January reference</w:t>
            </w:r>
          </w:p>
        </w:tc>
      </w:tr>
      <w:tr>
        <w:trPr>
          <w:cantSplit/>
        </w:trPr>
        <w:tc>
          <w:tcPr>
            <w:tcW w:type="dxa" w:w="2268"/>
            <w:vAlign w:val="top"/>
            <w:tcMar>
              <w:top w:w="70" w:type="dxa"/>
              <w:start w:w="90" w:type="dxa"/>
              <w:bottom w:w="70" w:type="dxa"/>
              <w:end w:w="90" w:type="dxa"/>
            </w:tcMar>
          </w:tcPr>
          <w:p>
            <w:pPr>
              <w:spacing w:after="0"/>
            </w:pPr>
            <w:r>
              <w:rPr>
                <w:sz w:val="16"/>
              </w:rPr>
              <w:t>Adjustment</w:t>
            </w:r>
          </w:p>
        </w:tc>
        <w:tc>
          <w:tcPr>
            <w:tcW w:type="dxa" w:w="6803"/>
            <w:vAlign w:val="top"/>
            <w:tcMar>
              <w:top w:w="70" w:type="dxa"/>
              <w:start w:w="90" w:type="dxa"/>
              <w:bottom w:w="70" w:type="dxa"/>
              <w:end w:w="90" w:type="dxa"/>
            </w:tcMar>
          </w:tcPr>
          <w:p>
            <w:pPr>
              <w:spacing w:after="0"/>
            </w:pPr>
            <w:r>
              <w:rPr>
                <w:sz w:val="16"/>
              </w:rPr>
              <w:t>Year categorical; 2013 reference</w:t>
            </w:r>
          </w:p>
        </w:tc>
      </w:tr>
      <w:tr>
        <w:trPr>
          <w:cantSplit/>
        </w:trPr>
        <w:tc>
          <w:tcPr>
            <w:tcW w:type="dxa" w:w="2268"/>
            <w:vAlign w:val="top"/>
            <w:tcMar>
              <w:top w:w="70" w:type="dxa"/>
              <w:start w:w="90" w:type="dxa"/>
              <w:bottom w:w="70" w:type="dxa"/>
              <w:end w:w="90" w:type="dxa"/>
            </w:tcMar>
          </w:tcPr>
          <w:p>
            <w:pPr>
              <w:spacing w:after="0"/>
            </w:pPr>
            <w:r>
              <w:rPr>
                <w:sz w:val="16"/>
              </w:rPr>
              <w:t>Adjustment</w:t>
            </w:r>
          </w:p>
        </w:tc>
        <w:tc>
          <w:tcPr>
            <w:tcW w:type="dxa" w:w="6803"/>
            <w:vAlign w:val="top"/>
            <w:tcMar>
              <w:top w:w="70" w:type="dxa"/>
              <w:start w:w="90" w:type="dxa"/>
              <w:bottom w:w="70" w:type="dxa"/>
              <w:end w:w="90" w:type="dxa"/>
            </w:tcMar>
          </w:tcPr>
          <w:p>
            <w:pPr>
              <w:spacing w:after="0"/>
            </w:pPr>
            <w:r>
              <w:rPr>
                <w:sz w:val="16"/>
              </w:rPr>
              <w:t>ACZ categorical; Coastal Zone/CZ reference</w:t>
            </w:r>
          </w:p>
        </w:tc>
      </w:tr>
      <w:tr>
        <w:trPr>
          <w:cantSplit/>
        </w:trPr>
        <w:tc>
          <w:tcPr>
            <w:tcW w:type="dxa" w:w="2268"/>
            <w:vAlign w:val="top"/>
            <w:tcMar>
              <w:top w:w="70" w:type="dxa"/>
              <w:start w:w="90" w:type="dxa"/>
              <w:bottom w:w="70" w:type="dxa"/>
              <w:end w:w="90" w:type="dxa"/>
            </w:tcMar>
          </w:tcPr>
          <w:p>
            <w:pPr>
              <w:spacing w:after="0"/>
            </w:pPr>
            <w:r>
              <w:rPr>
                <w:sz w:val="16"/>
              </w:rPr>
              <w:t>Excluded predictors</w:t>
            </w:r>
          </w:p>
        </w:tc>
        <w:tc>
          <w:tcPr>
            <w:tcW w:type="dxa" w:w="6803"/>
            <w:vAlign w:val="top"/>
            <w:tcMar>
              <w:top w:w="70" w:type="dxa"/>
              <w:start w:w="90" w:type="dxa"/>
              <w:bottom w:w="70" w:type="dxa"/>
              <w:end w:w="90" w:type="dxa"/>
            </w:tcMar>
          </w:tcPr>
          <w:p>
            <w:pPr>
              <w:spacing w:after="0"/>
            </w:pPr>
            <w:r>
              <w:rPr>
                <w:sz w:val="16"/>
              </w:rPr>
              <w:t>viirs_days_active_nh; modis_det_primary_any</w:t>
            </w:r>
          </w:p>
        </w:tc>
      </w:tr>
    </w:tbl>
    <w:p>
      <w:r>
        <w:t>The realised model matrix has 31 columns: intercept, three continuous terms, 11 month indicators, 12 year indicators and four ACZ indicators. VIF is diagnostic only and has no variable-deletion authority.</w:t>
      </w:r>
    </w:p>
    <w:p>
      <w:pPr>
        <w:pStyle w:val="Heading2"/>
      </w:pPr>
      <w:r>
        <w:t>7.3 Estimator and inference</w:t>
      </w:r>
    </w:p>
    <w:p>
      <w:r>
        <w:t>The estimator is Firth-type penalised binomial-logit GEE with district clustering and working independence. Covariance is the Morel-Bokossa-Neerchal corrected cluster sandwich. Coefficient inference uses standard-normal Wald statistics and intervals. Standardised probabilities are computed at observed Q25/Q75 values for each focal predictor while retaining observed values of other covariates and averaging fitted probabilities over the model population.</w:t>
      </w:r>
    </w:p>
    <w:p>
      <w:pPr>
        <w:pStyle w:val="Heading1"/>
      </w:pPr>
      <w:r>
        <w:t>8. Secondary analysis - retrospective SaTScan concentration</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984"/>
            <w:shd w:fill="D9E2F3"/>
            <w:vAlign w:val="center"/>
            <w:tcMar>
              <w:top w:w="70" w:type="dxa"/>
              <w:start w:w="90" w:type="dxa"/>
              <w:bottom w:w="70" w:type="dxa"/>
              <w:end w:w="90" w:type="dxa"/>
            </w:tcMar>
          </w:tcPr>
          <w:p>
            <w:r>
              <w:rPr>
                <w:b/>
                <w:sz w:val="17"/>
              </w:rPr>
              <w:t>Scenario</w:t>
            </w:r>
          </w:p>
        </w:tc>
        <w:tc>
          <w:tcPr>
            <w:tcW w:type="dxa" w:w="2268"/>
            <w:shd w:fill="D9E2F3"/>
            <w:vAlign w:val="center"/>
            <w:tcMar>
              <w:top w:w="70" w:type="dxa"/>
              <w:start w:w="90" w:type="dxa"/>
              <w:bottom w:w="70" w:type="dxa"/>
              <w:end w:w="90" w:type="dxa"/>
            </w:tcMar>
          </w:tcPr>
          <w:p>
            <w:r>
              <w:rPr>
                <w:b/>
                <w:sz w:val="17"/>
              </w:rPr>
              <w:t>Model</w:t>
            </w:r>
          </w:p>
        </w:tc>
        <w:tc>
          <w:tcPr>
            <w:tcW w:type="dxa" w:w="1134"/>
            <w:shd w:fill="D9E2F3"/>
            <w:vAlign w:val="center"/>
            <w:tcMar>
              <w:top w:w="70" w:type="dxa"/>
              <w:start w:w="90" w:type="dxa"/>
              <w:bottom w:w="70" w:type="dxa"/>
              <w:end w:w="90" w:type="dxa"/>
            </w:tcMar>
          </w:tcPr>
          <w:p>
            <w:r>
              <w:rPr>
                <w:b/>
                <w:sz w:val="17"/>
              </w:rPr>
              <w:t>Population</w:t>
            </w:r>
          </w:p>
        </w:tc>
        <w:tc>
          <w:tcPr>
            <w:tcW w:type="dxa" w:w="2268"/>
            <w:shd w:fill="D9E2F3"/>
            <w:vAlign w:val="center"/>
            <w:tcMar>
              <w:top w:w="70" w:type="dxa"/>
              <w:start w:w="90" w:type="dxa"/>
              <w:bottom w:w="70" w:type="dxa"/>
              <w:end w:w="90" w:type="dxa"/>
            </w:tcMar>
          </w:tcPr>
          <w:p>
            <w:r>
              <w:rPr>
                <w:b/>
                <w:sz w:val="17"/>
              </w:rPr>
              <w:t>Cases</w:t>
            </w:r>
          </w:p>
        </w:tc>
        <w:tc>
          <w:tcPr>
            <w:tcW w:type="dxa" w:w="1701"/>
            <w:shd w:fill="D9E2F3"/>
            <w:vAlign w:val="center"/>
            <w:tcMar>
              <w:top w:w="70" w:type="dxa"/>
              <w:start w:w="90" w:type="dxa"/>
              <w:bottom w:w="70" w:type="dxa"/>
              <w:end w:w="90" w:type="dxa"/>
            </w:tcMar>
          </w:tcPr>
          <w:p>
            <w:r>
              <w:rPr>
                <w:b/>
                <w:sz w:val="17"/>
              </w:rPr>
              <w:t>Exposure</w:t>
            </w:r>
          </w:p>
        </w:tc>
        <w:tc>
          <w:tcPr>
            <w:tcW w:type="dxa" w:w="1701"/>
            <w:shd w:fill="D9E2F3"/>
            <w:vAlign w:val="center"/>
            <w:tcMar>
              <w:top w:w="70" w:type="dxa"/>
              <w:start w:w="90" w:type="dxa"/>
              <w:bottom w:w="70" w:type="dxa"/>
              <w:end w:w="90" w:type="dxa"/>
            </w:tcMar>
          </w:tcPr>
          <w:p>
            <w:r>
              <w:rPr>
                <w:b/>
                <w:sz w:val="17"/>
              </w:rPr>
              <w:t>Window</w:t>
            </w:r>
          </w:p>
        </w:tc>
      </w:tr>
      <w:tr>
        <w:trPr>
          <w:cantSplit/>
        </w:trPr>
        <w:tc>
          <w:tcPr>
            <w:tcW w:type="dxa" w:w="1984"/>
            <w:vAlign w:val="top"/>
            <w:tcMar>
              <w:top w:w="70" w:type="dxa"/>
              <w:start w:w="90" w:type="dxa"/>
              <w:bottom w:w="70" w:type="dxa"/>
              <w:end w:w="90" w:type="dxa"/>
            </w:tcMar>
          </w:tcPr>
          <w:p>
            <w:pPr>
              <w:spacing w:after="0"/>
            </w:pPr>
            <w:r>
              <w:rPr>
                <w:sz w:val="16"/>
              </w:rPr>
              <w:t>MCD64A1_POISSON_PRIMARY</w:t>
            </w:r>
          </w:p>
        </w:tc>
        <w:tc>
          <w:tcPr>
            <w:tcW w:type="dxa" w:w="2268"/>
            <w:vAlign w:val="top"/>
            <w:tcMar>
              <w:top w:w="70" w:type="dxa"/>
              <w:start w:w="90" w:type="dxa"/>
              <w:bottom w:w="70" w:type="dxa"/>
              <w:end w:w="90" w:type="dxa"/>
            </w:tcMar>
          </w:tcPr>
          <w:p>
            <w:pPr>
              <w:spacing w:after="0"/>
            </w:pPr>
            <w:r>
              <w:rPr>
                <w:sz w:val="16"/>
              </w:rPr>
              <w:t>Retrospective space-time discrete Poisson</w:t>
            </w:r>
          </w:p>
        </w:tc>
        <w:tc>
          <w:tcPr>
            <w:tcW w:type="dxa" w:w="1134"/>
            <w:vAlign w:val="top"/>
            <w:tcMar>
              <w:top w:w="70" w:type="dxa"/>
              <w:start w:w="90" w:type="dxa"/>
              <w:bottom w:w="70" w:type="dxa"/>
              <w:end w:w="90" w:type="dxa"/>
            </w:tcMar>
          </w:tcPr>
          <w:p>
            <w:pPr>
              <w:spacing w:after="0"/>
            </w:pPr>
            <w:r>
              <w:rPr>
                <w:sz w:val="16"/>
              </w:rPr>
              <w:t>250 districts</w:t>
            </w:r>
          </w:p>
        </w:tc>
        <w:tc>
          <w:tcPr>
            <w:tcW w:type="dxa" w:w="2268"/>
            <w:vAlign w:val="top"/>
            <w:tcMar>
              <w:top w:w="70" w:type="dxa"/>
              <w:start w:w="90" w:type="dxa"/>
              <w:bottom w:w="70" w:type="dxa"/>
              <w:end w:w="90" w:type="dxa"/>
            </w:tcMar>
          </w:tcPr>
          <w:p>
            <w:pPr>
              <w:spacing w:after="0"/>
            </w:pPr>
            <w:r>
              <w:rPr>
                <w:sz w:val="16"/>
              </w:rPr>
              <w:t>modis_burned_pixel_count_ba2001</w:t>
            </w:r>
          </w:p>
        </w:tc>
        <w:tc>
          <w:tcPr>
            <w:tcW w:type="dxa" w:w="1701"/>
            <w:vAlign w:val="top"/>
            <w:tcMar>
              <w:top w:w="70" w:type="dxa"/>
              <w:start w:w="90" w:type="dxa"/>
              <w:bottom w:w="70" w:type="dxa"/>
              <w:end w:w="90" w:type="dxa"/>
            </w:tcMar>
          </w:tcPr>
          <w:p>
            <w:pPr>
              <w:spacing w:after="0"/>
            </w:pPr>
            <w:r>
              <w:rPr>
                <w:sz w:val="16"/>
              </w:rPr>
              <w:t>fixed BA-2001 burnable area</w:t>
            </w:r>
          </w:p>
        </w:tc>
        <w:tc>
          <w:tcPr>
            <w:tcW w:type="dxa" w:w="1701"/>
            <w:vAlign w:val="top"/>
            <w:tcMar>
              <w:top w:w="70" w:type="dxa"/>
              <w:start w:w="90" w:type="dxa"/>
              <w:bottom w:w="70" w:type="dxa"/>
              <w:end w:w="90" w:type="dxa"/>
            </w:tcMar>
          </w:tcPr>
          <w:p>
            <w:pPr>
              <w:spacing w:after="0"/>
            </w:pPr>
            <w:r>
              <w:rPr>
                <w:sz w:val="16"/>
              </w:rPr>
              <w:t>2001-01 to 2024-12</w:t>
            </w:r>
          </w:p>
        </w:tc>
      </w:tr>
      <w:tr>
        <w:trPr>
          <w:cantSplit/>
        </w:trPr>
        <w:tc>
          <w:tcPr>
            <w:tcW w:type="dxa" w:w="1984"/>
            <w:vAlign w:val="top"/>
            <w:tcMar>
              <w:top w:w="70" w:type="dxa"/>
              <w:start w:w="90" w:type="dxa"/>
              <w:bottom w:w="70" w:type="dxa"/>
              <w:end w:w="90" w:type="dxa"/>
            </w:tcMar>
          </w:tcPr>
          <w:p>
            <w:pPr>
              <w:spacing w:after="0"/>
            </w:pPr>
            <w:r>
              <w:rPr>
                <w:sz w:val="16"/>
              </w:rPr>
              <w:t>VIIRS_STP_PRIMARY</w:t>
            </w:r>
          </w:p>
        </w:tc>
        <w:tc>
          <w:tcPr>
            <w:tcW w:type="dxa" w:w="2268"/>
            <w:vAlign w:val="top"/>
            <w:tcMar>
              <w:top w:w="70" w:type="dxa"/>
              <w:start w:w="90" w:type="dxa"/>
              <w:bottom w:w="70" w:type="dxa"/>
              <w:end w:w="90" w:type="dxa"/>
            </w:tcMar>
          </w:tcPr>
          <w:p>
            <w:pPr>
              <w:spacing w:after="0"/>
            </w:pPr>
            <w:r>
              <w:rPr>
                <w:sz w:val="16"/>
              </w:rPr>
              <w:t>Retrospective space-time permutation</w:t>
            </w:r>
          </w:p>
        </w:tc>
        <w:tc>
          <w:tcPr>
            <w:tcW w:type="dxa" w:w="1134"/>
            <w:vAlign w:val="top"/>
            <w:tcMar>
              <w:top w:w="70" w:type="dxa"/>
              <w:start w:w="90" w:type="dxa"/>
              <w:bottom w:w="70" w:type="dxa"/>
              <w:end w:w="90" w:type="dxa"/>
            </w:tcMar>
          </w:tcPr>
          <w:p>
            <w:pPr>
              <w:spacing w:after="0"/>
            </w:pPr>
            <w:r>
              <w:rPr>
                <w:sz w:val="16"/>
              </w:rPr>
              <w:t>249 districts</w:t>
            </w:r>
          </w:p>
        </w:tc>
        <w:tc>
          <w:tcPr>
            <w:tcW w:type="dxa" w:w="2268"/>
            <w:vAlign w:val="top"/>
            <w:tcMar>
              <w:top w:w="70" w:type="dxa"/>
              <w:start w:w="90" w:type="dxa"/>
              <w:bottom w:w="70" w:type="dxa"/>
              <w:end w:w="90" w:type="dxa"/>
            </w:tcMar>
          </w:tcPr>
          <w:p>
            <w:pPr>
              <w:spacing w:after="0"/>
            </w:pPr>
            <w:r>
              <w:rPr>
                <w:sz w:val="16"/>
              </w:rPr>
              <w:t>viirs_det_primary</w:t>
            </w:r>
          </w:p>
        </w:tc>
        <w:tc>
          <w:tcPr>
            <w:tcW w:type="dxa" w:w="1701"/>
            <w:vAlign w:val="top"/>
            <w:tcMar>
              <w:top w:w="70" w:type="dxa"/>
              <w:start w:w="90" w:type="dxa"/>
              <w:bottom w:w="70" w:type="dxa"/>
              <w:end w:w="90" w:type="dxa"/>
            </w:tcMar>
          </w:tcPr>
          <w:p>
            <w:pPr>
              <w:spacing w:after="0"/>
            </w:pPr>
            <w:r>
              <w:rPr>
                <w:sz w:val="16"/>
              </w:rPr>
              <w:t>None</w:t>
            </w:r>
          </w:p>
        </w:tc>
        <w:tc>
          <w:tcPr>
            <w:tcW w:type="dxa" w:w="1701"/>
            <w:vAlign w:val="top"/>
            <w:tcMar>
              <w:top w:w="70" w:type="dxa"/>
              <w:start w:w="90" w:type="dxa"/>
              <w:bottom w:w="70" w:type="dxa"/>
              <w:end w:w="90" w:type="dxa"/>
            </w:tcMar>
          </w:tcPr>
          <w:p>
            <w:pPr>
              <w:spacing w:after="0"/>
            </w:pPr>
            <w:r>
              <w:rPr>
                <w:sz w:val="16"/>
              </w:rPr>
              <w:t>2012-02 to 2024-12</w:t>
            </w:r>
          </w:p>
        </w:tc>
      </w:tr>
    </w:tbl>
    <w:p>
      <w:r>
        <w:t>Common settings are SaTScan 10.3.3, monthly time, circular spatial windows, high clusters only, 50% maximum spatial size, 12-month maximum temporal length, 999 Monte Carlo replications, alpha 0.05, hierarchical geographically non-overlapping reporting and no Gini-optimised reporting. Coordinates use EPSG:32630 and select polygon centroid when covered, otherwise a point-on-surface. No unsupported user-defined SaTScan random seed is passed.</w:t>
      </w:r>
    </w:p>
    <w:p>
      <w:pPr>
        <w:pStyle w:val="Heading2"/>
      </w:pPr>
      <w:r>
        <w:t>8.1 External execution boundary</w:t>
      </w:r>
    </w:p>
    <w:p>
      <w:r>
        <w:t>Section 04-01 always generates deterministic case, coordinate, model-appropriate exposure and parameter files. The user executes SaTScan externally. Section 04-02 detects, validates and ingests existing result families only. The core result family is the exact extensionless ResultsFile plus ResultsFile.col.txt and ResultsFile.gis.txt; no duplicate ResultsFile.txt and no external provenance JSON are mandatory. With neither result family present the state is EXTERNAL_RESULTS_REQUIRED. Two complete, current-run, provenance-bound and parse-valid families produce RESULTS_VALIDATED. Partial, stale, malformed, path-escaping or identity-mismatched material fails closed. Section 90 always executes according to this state.</w:t>
      </w:r>
    </w:p>
    <w:p>
      <w:pPr>
        <w:pStyle w:val="Heading1"/>
      </w:pPr>
      <w:r>
        <w:t>9. Software implementation and execution workflow</w:t>
      </w:r>
    </w:p>
    <w:p>
      <w:r>
        <w:t>RP1_Analysis_v1.ipynb is a thin orchestrator. Package-owned code implements statistics, spatial analysis, PGEE/MBN estimation, SaTScan interface generation/validation, publication construction and provenance. The notebook loads configuration and governed inputs, invokes package builders and records run metadata.</w:t>
      </w:r>
    </w:p>
    <w:p>
      <w:pPr>
        <w:pStyle w:val="ListNumber"/>
      </w:pPr>
      <w:r>
        <w:t>Load and validate the five executable configuration contracts.</w:t>
      </w:r>
    </w:p>
    <w:p>
      <w:pPr>
        <w:pStyle w:val="ListNumber"/>
      </w:pPr>
      <w:r>
        <w:t>Validate governed panels, geometries, keys, support and relationships.</w:t>
      </w:r>
    </w:p>
    <w:p>
      <w:pPr>
        <w:pStyle w:val="ListNumber"/>
      </w:pPr>
      <w:r>
        <w:t>Build RQ1 authorities and presentation sources.</w:t>
      </w:r>
    </w:p>
    <w:p>
      <w:pPr>
        <w:pStyle w:val="ListNumber"/>
      </w:pPr>
      <w:r>
        <w:t>Build five annual RQ2 series and execute the tie-admissible studentized permutation inference.</w:t>
      </w:r>
    </w:p>
    <w:p>
      <w:pPr>
        <w:pStyle w:val="ListNumber"/>
      </w:pPr>
      <w:r>
        <w:t>Build RQ3 paired/model populations, diagnostics, 31-column design, PGEE/MBN fit and standardised probabilities.</w:t>
      </w:r>
    </w:p>
    <w:p>
      <w:pPr>
        <w:pStyle w:val="ListNumber"/>
      </w:pPr>
      <w:r>
        <w:t>Generate deterministic SaTScan 04-01 interfaces and external-execution manifests.</w:t>
      </w:r>
    </w:p>
    <w:p>
      <w:pPr>
        <w:pStyle w:val="ListNumber"/>
      </w:pPr>
      <w:r>
        <w:t>Validate optional 04-02 result state without launching SaTScan.</w:t>
      </w:r>
    </w:p>
    <w:p>
      <w:pPr>
        <w:pStyle w:val="ListNumber"/>
      </w:pPr>
      <w:r>
        <w:t>Construct all publication products allowed by the current state and validate run manifests/hashes.</w:t>
      </w:r>
    </w:p>
    <w:p>
      <w:pPr>
        <w:pStyle w:val="Heading1"/>
      </w:pPr>
      <w:r>
        <w:t>10. Publication outputs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1247"/>
            <w:shd w:fill="D9E2F3"/>
            <w:vAlign w:val="center"/>
            <w:tcMar>
              <w:top w:w="70" w:type="dxa"/>
              <w:start w:w="90" w:type="dxa"/>
              <w:bottom w:w="70" w:type="dxa"/>
              <w:end w:w="90" w:type="dxa"/>
            </w:tcMar>
          </w:tcPr>
          <w:p>
            <w:r>
              <w:rPr>
                <w:b/>
                <w:sz w:val="17"/>
              </w:rPr>
              <w:t>ID</w:t>
            </w:r>
          </w:p>
        </w:tc>
        <w:tc>
          <w:tcPr>
            <w:tcW w:type="dxa" w:w="7937"/>
            <w:shd w:fill="D9E2F3"/>
            <w:vAlign w:val="center"/>
            <w:tcMar>
              <w:top w:w="70" w:type="dxa"/>
              <w:start w:w="90" w:type="dxa"/>
              <w:bottom w:w="70" w:type="dxa"/>
              <w:end w:w="90" w:type="dxa"/>
            </w:tcMar>
          </w:tcPr>
          <w:p>
            <w:r>
              <w:rPr>
                <w:b/>
                <w:sz w:val="17"/>
              </w:rPr>
              <w:t>Current content / availability</w:t>
            </w:r>
          </w:p>
        </w:tc>
      </w:tr>
      <w:tr>
        <w:trPr>
          <w:cantSplit/>
        </w:trPr>
        <w:tc>
          <w:tcPr>
            <w:tcW w:type="dxa" w:w="1247"/>
            <w:vAlign w:val="top"/>
            <w:tcMar>
              <w:top w:w="70" w:type="dxa"/>
              <w:start w:w="90" w:type="dxa"/>
              <w:bottom w:w="70" w:type="dxa"/>
              <w:end w:w="90" w:type="dxa"/>
            </w:tcMar>
          </w:tcPr>
          <w:p>
            <w:pPr>
              <w:spacing w:after="0"/>
            </w:pPr>
            <w:r>
              <w:rPr>
                <w:sz w:val="16"/>
              </w:rPr>
              <w:t>T1</w:t>
            </w:r>
          </w:p>
        </w:tc>
        <w:tc>
          <w:tcPr>
            <w:tcW w:type="dxa" w:w="7937"/>
            <w:vAlign w:val="top"/>
            <w:tcMar>
              <w:top w:w="70" w:type="dxa"/>
              <w:start w:w="90" w:type="dxa"/>
              <w:bottom w:w="70" w:type="dxa"/>
              <w:end w:w="90" w:type="dxa"/>
            </w:tcMar>
          </w:tcPr>
          <w:p>
            <w:pPr>
              <w:spacing w:after="0"/>
            </w:pPr>
            <w:r>
              <w:rPr>
                <w:sz w:val="16"/>
              </w:rPr>
              <w:t>ACZ RQ1/RQ2 summary including direct ACZ rate, district heterogeneity/circular summaries, Sen slope, raw RQ2 p and BH q.</w:t>
            </w:r>
          </w:p>
        </w:tc>
      </w:tr>
      <w:tr>
        <w:trPr>
          <w:cantSplit/>
        </w:trPr>
        <w:tc>
          <w:tcPr>
            <w:tcW w:type="dxa" w:w="1247"/>
            <w:vAlign w:val="top"/>
            <w:tcMar>
              <w:top w:w="70" w:type="dxa"/>
              <w:start w:w="90" w:type="dxa"/>
              <w:bottom w:w="70" w:type="dxa"/>
              <w:end w:w="90" w:type="dxa"/>
            </w:tcMar>
          </w:tcPr>
          <w:p>
            <w:pPr>
              <w:spacing w:after="0"/>
            </w:pPr>
            <w:r>
              <w:rPr>
                <w:sz w:val="16"/>
              </w:rPr>
              <w:t>T2</w:t>
            </w:r>
          </w:p>
        </w:tc>
        <w:tc>
          <w:tcPr>
            <w:tcW w:type="dxa" w:w="7937"/>
            <w:vAlign w:val="top"/>
            <w:tcMar>
              <w:top w:w="70" w:type="dxa"/>
              <w:start w:w="90" w:type="dxa"/>
              <w:bottom w:w="70" w:type="dxa"/>
              <w:end w:w="90" w:type="dxa"/>
            </w:tcMar>
          </w:tcPr>
          <w:p>
            <w:pPr>
              <w:spacing w:after="0"/>
            </w:pPr>
            <w:r>
              <w:rPr>
                <w:sz w:val="16"/>
              </w:rPr>
              <w:t>RQ3 continuous model summary: VIIRS count, mean FRP and burnable-area adjustment.</w:t>
            </w:r>
          </w:p>
        </w:tc>
      </w:tr>
      <w:tr>
        <w:trPr>
          <w:cantSplit/>
        </w:trPr>
        <w:tc>
          <w:tcPr>
            <w:tcW w:type="dxa" w:w="1247"/>
            <w:vAlign w:val="top"/>
            <w:tcMar>
              <w:top w:w="70" w:type="dxa"/>
              <w:start w:w="90" w:type="dxa"/>
              <w:bottom w:w="70" w:type="dxa"/>
              <w:end w:w="90" w:type="dxa"/>
            </w:tcMar>
          </w:tcPr>
          <w:p>
            <w:pPr>
              <w:spacing w:after="0"/>
            </w:pPr>
            <w:r>
              <w:rPr>
                <w:sz w:val="16"/>
              </w:rPr>
              <w:t>T3</w:t>
            </w:r>
          </w:p>
        </w:tc>
        <w:tc>
          <w:tcPr>
            <w:tcW w:type="dxa" w:w="7937"/>
            <w:vAlign w:val="top"/>
            <w:tcMar>
              <w:top w:w="70" w:type="dxa"/>
              <w:start w:w="90" w:type="dxa"/>
              <w:bottom w:w="70" w:type="dxa"/>
              <w:end w:w="90" w:type="dxa"/>
            </w:tcMar>
          </w:tcPr>
          <w:p>
            <w:pPr>
              <w:spacing w:after="0"/>
            </w:pPr>
            <w:r>
              <w:rPr>
                <w:sz w:val="16"/>
              </w:rPr>
              <w:t>Significant validated SaTScan clusters; requires genuine RESULTS_VALIDATED.</w:t>
            </w:r>
          </w:p>
        </w:tc>
      </w:tr>
      <w:tr>
        <w:trPr>
          <w:cantSplit/>
        </w:trPr>
        <w:tc>
          <w:tcPr>
            <w:tcW w:type="dxa" w:w="1247"/>
            <w:vAlign w:val="top"/>
            <w:tcMar>
              <w:top w:w="70" w:type="dxa"/>
              <w:start w:w="90" w:type="dxa"/>
              <w:bottom w:w="70" w:type="dxa"/>
              <w:end w:w="90" w:type="dxa"/>
            </w:tcMar>
          </w:tcPr>
          <w:p>
            <w:pPr>
              <w:spacing w:after="0"/>
            </w:pPr>
            <w:r>
              <w:rPr>
                <w:sz w:val="16"/>
              </w:rPr>
              <w:t>F2</w:t>
            </w:r>
          </w:p>
        </w:tc>
        <w:tc>
          <w:tcPr>
            <w:tcW w:type="dxa" w:w="7937"/>
            <w:vAlign w:val="top"/>
            <w:tcMar>
              <w:top w:w="70" w:type="dxa"/>
              <w:start w:w="90" w:type="dxa"/>
              <w:bottom w:w="70" w:type="dxa"/>
              <w:end w:w="90" w:type="dxa"/>
            </w:tcMar>
          </w:tcPr>
          <w:p>
            <w:pPr>
              <w:spacing w:after="0"/>
            </w:pPr>
            <w:r>
              <w:rPr>
                <w:sz w:val="16"/>
              </w:rPr>
              <w:t>Spatial supports and long-run mapped burned-area burden.</w:t>
            </w:r>
          </w:p>
        </w:tc>
      </w:tr>
      <w:tr>
        <w:trPr>
          <w:cantSplit/>
        </w:trPr>
        <w:tc>
          <w:tcPr>
            <w:tcW w:type="dxa" w:w="1247"/>
            <w:vAlign w:val="top"/>
            <w:tcMar>
              <w:top w:w="70" w:type="dxa"/>
              <w:start w:w="90" w:type="dxa"/>
              <w:bottom w:w="70" w:type="dxa"/>
              <w:end w:w="90" w:type="dxa"/>
            </w:tcMar>
          </w:tcPr>
          <w:p>
            <w:pPr>
              <w:spacing w:after="0"/>
            </w:pPr>
            <w:r>
              <w:rPr>
                <w:sz w:val="16"/>
              </w:rPr>
              <w:t>F3</w:t>
            </w:r>
          </w:p>
        </w:tc>
        <w:tc>
          <w:tcPr>
            <w:tcW w:type="dxa" w:w="7937"/>
            <w:vAlign w:val="top"/>
            <w:tcMar>
              <w:top w:w="70" w:type="dxa"/>
              <w:start w:w="90" w:type="dxa"/>
              <w:bottom w:w="70" w:type="dxa"/>
              <w:end w:w="90" w:type="dxa"/>
            </w:tcMar>
          </w:tcPr>
          <w:p>
            <w:pPr>
              <w:spacing w:after="0"/>
            </w:pPr>
            <w:r>
              <w:rPr>
                <w:sz w:val="16"/>
              </w:rPr>
              <w:t>RQ1 seasonality and spatial organisation.</w:t>
            </w:r>
          </w:p>
        </w:tc>
      </w:tr>
      <w:tr>
        <w:trPr>
          <w:cantSplit/>
        </w:trPr>
        <w:tc>
          <w:tcPr>
            <w:tcW w:type="dxa" w:w="1247"/>
            <w:vAlign w:val="top"/>
            <w:tcMar>
              <w:top w:w="70" w:type="dxa"/>
              <w:start w:w="90" w:type="dxa"/>
              <w:bottom w:w="70" w:type="dxa"/>
              <w:end w:w="90" w:type="dxa"/>
            </w:tcMar>
          </w:tcPr>
          <w:p>
            <w:pPr>
              <w:spacing w:after="0"/>
            </w:pPr>
            <w:r>
              <w:rPr>
                <w:sz w:val="16"/>
              </w:rPr>
              <w:t>F4</w:t>
            </w:r>
          </w:p>
        </w:tc>
        <w:tc>
          <w:tcPr>
            <w:tcW w:type="dxa" w:w="7937"/>
            <w:vAlign w:val="top"/>
            <w:tcMar>
              <w:top w:w="70" w:type="dxa"/>
              <w:start w:w="90" w:type="dxa"/>
              <w:bottom w:w="70" w:type="dxa"/>
              <w:end w:w="90" w:type="dxa"/>
            </w:tcMar>
          </w:tcPr>
          <w:p>
            <w:pPr>
              <w:spacing w:after="0"/>
            </w:pPr>
            <w:r>
              <w:rPr>
                <w:sz w:val="16"/>
              </w:rPr>
              <w:t>Five ACZ annual fixed-support trajectories with Sen slope, raw p and BH q.</w:t>
            </w:r>
          </w:p>
        </w:tc>
      </w:tr>
      <w:tr>
        <w:trPr>
          <w:cantSplit/>
        </w:trPr>
        <w:tc>
          <w:tcPr>
            <w:tcW w:type="dxa" w:w="1247"/>
            <w:vAlign w:val="top"/>
            <w:tcMar>
              <w:top w:w="70" w:type="dxa"/>
              <w:start w:w="90" w:type="dxa"/>
              <w:bottom w:w="70" w:type="dxa"/>
              <w:end w:w="90" w:type="dxa"/>
            </w:tcMar>
          </w:tcPr>
          <w:p>
            <w:pPr>
              <w:spacing w:after="0"/>
            </w:pPr>
            <w:r>
              <w:rPr>
                <w:sz w:val="16"/>
              </w:rPr>
              <w:t>F5</w:t>
            </w:r>
          </w:p>
        </w:tc>
        <w:tc>
          <w:tcPr>
            <w:tcW w:type="dxa" w:w="7937"/>
            <w:vAlign w:val="top"/>
            <w:tcMar>
              <w:top w:w="70" w:type="dxa"/>
              <w:start w:w="90" w:type="dxa"/>
              <w:bottom w:w="70" w:type="dxa"/>
              <w:end w:w="90" w:type="dxa"/>
            </w:tcMar>
          </w:tcPr>
          <w:p>
            <w:pPr>
              <w:spacing w:after="0"/>
            </w:pPr>
            <w:r>
              <w:rPr>
                <w:sz w:val="16"/>
              </w:rPr>
              <w:t>RQ3 cross-product observability.</w:t>
            </w:r>
          </w:p>
        </w:tc>
      </w:tr>
      <w:tr>
        <w:trPr>
          <w:cantSplit/>
        </w:trPr>
        <w:tc>
          <w:tcPr>
            <w:tcW w:type="dxa" w:w="1247"/>
            <w:vAlign w:val="top"/>
            <w:tcMar>
              <w:top w:w="70" w:type="dxa"/>
              <w:start w:w="90" w:type="dxa"/>
              <w:bottom w:w="70" w:type="dxa"/>
              <w:end w:w="90" w:type="dxa"/>
            </w:tcMar>
          </w:tcPr>
          <w:p>
            <w:pPr>
              <w:spacing w:after="0"/>
            </w:pPr>
            <w:r>
              <w:rPr>
                <w:sz w:val="16"/>
              </w:rPr>
              <w:t>F6</w:t>
            </w:r>
          </w:p>
        </w:tc>
        <w:tc>
          <w:tcPr>
            <w:tcW w:type="dxa" w:w="7937"/>
            <w:vAlign w:val="top"/>
            <w:tcMar>
              <w:top w:w="70" w:type="dxa"/>
              <w:start w:w="90" w:type="dxa"/>
              <w:bottom w:w="70" w:type="dxa"/>
              <w:end w:w="90" w:type="dxa"/>
            </w:tcMar>
          </w:tcPr>
          <w:p>
            <w:pPr>
              <w:spacing w:after="0"/>
            </w:pPr>
            <w:r>
              <w:rPr>
                <w:sz w:val="16"/>
              </w:rPr>
              <w:t>Descriptive recurrence: number of distinct validated significant clusters containing each eligible district; requires RESULTS_VALIDATED.</w:t>
            </w:r>
          </w:p>
        </w:tc>
      </w:tr>
      <w:tr>
        <w:trPr>
          <w:cantSplit/>
        </w:trPr>
        <w:tc>
          <w:tcPr>
            <w:tcW w:type="dxa" w:w="1247"/>
            <w:vAlign w:val="top"/>
            <w:tcMar>
              <w:top w:w="70" w:type="dxa"/>
              <w:start w:w="90" w:type="dxa"/>
              <w:bottom w:w="70" w:type="dxa"/>
              <w:end w:w="90" w:type="dxa"/>
            </w:tcMar>
          </w:tcPr>
          <w:p>
            <w:pPr>
              <w:spacing w:after="0"/>
            </w:pPr>
            <w:r>
              <w:rPr>
                <w:sz w:val="16"/>
              </w:rPr>
              <w:t>S1-S6</w:t>
            </w:r>
          </w:p>
        </w:tc>
        <w:tc>
          <w:tcPr>
            <w:tcW w:type="dxa" w:w="7937"/>
            <w:vAlign w:val="top"/>
            <w:tcMar>
              <w:top w:w="70" w:type="dxa"/>
              <w:start w:w="90" w:type="dxa"/>
              <w:bottom w:w="70" w:type="dxa"/>
              <w:end w:w="90" w:type="dxa"/>
            </w:tcMar>
          </w:tcPr>
          <w:p>
            <w:pPr>
              <w:spacing w:after="0"/>
            </w:pPr>
            <w:r>
              <w:rPr>
                <w:sz w:val="16"/>
              </w:rPr>
              <w:t>Supplementary tables for populations, district RQ1, spatial inference, RQ2 annual/inference authority, RQ3 diagnostics/full coefficients and SaTScan results.</w:t>
            </w:r>
          </w:p>
        </w:tc>
      </w:tr>
      <w:tr>
        <w:trPr>
          <w:cantSplit/>
        </w:trPr>
        <w:tc>
          <w:tcPr>
            <w:tcW w:type="dxa" w:w="1247"/>
            <w:vAlign w:val="top"/>
            <w:tcMar>
              <w:top w:w="70" w:type="dxa"/>
              <w:start w:w="90" w:type="dxa"/>
              <w:bottom w:w="70" w:type="dxa"/>
              <w:end w:w="90" w:type="dxa"/>
            </w:tcMar>
          </w:tcPr>
          <w:p>
            <w:pPr>
              <w:spacing w:after="0"/>
            </w:pPr>
            <w:r>
              <w:rPr>
                <w:sz w:val="16"/>
              </w:rPr>
              <w:t>Figure S1</w:t>
            </w:r>
          </w:p>
        </w:tc>
        <w:tc>
          <w:tcPr>
            <w:tcW w:type="dxa" w:w="7937"/>
            <w:vAlign w:val="top"/>
            <w:tcMar>
              <w:top w:w="70" w:type="dxa"/>
              <w:start w:w="90" w:type="dxa"/>
              <w:bottom w:w="70" w:type="dxa"/>
              <w:end w:w="90" w:type="dxa"/>
            </w:tcMar>
          </w:tcPr>
          <w:p>
            <w:pPr>
              <w:spacing w:after="0"/>
            </w:pPr>
            <w:r>
              <w:rPr>
                <w:sz w:val="16"/>
              </w:rPr>
              <w:t>Full district seasonal diagnostics.</w:t>
            </w:r>
          </w:p>
        </w:tc>
      </w:tr>
    </w:tbl>
    <w:p>
      <w:pPr>
        <w:pStyle w:val="Heading1"/>
      </w:pPr>
      <w:r>
        <w:t>11. Reproducibility and qualification requirements</w:t>
      </w:r>
    </w:p>
    <w:p>
      <w:r>
        <w:t>The canonical environment is rp_ghana_fire with Python &gt;=3.13,&lt;3.14. Source qualification verifies that rp1_analysis_v1, mv_firms_panels and geo_data_prep import from the current repository before running the complete test estates. Governed inputs and active reference methods must pass validation before analysis acceptance.</w:t>
      </w:r>
    </w:p>
    <w:p>
      <w:pPr/>
      <w:r>
        <w:rPr>
          <w:rFonts w:ascii="Liberation Mono" w:hAnsi="Liberation Mono"/>
          <w:sz w:val="17"/>
        </w:rPr>
        <w:t>python tools/qualify_source_checkout.py</w:t>
        <w:br/>
        <w:t>python RP1_Project/rp1_analysis/scripts/validate_inputs.py</w:t>
        <w:br/>
        <w:t>python RP1_Project/rp1_analysis/scripts/qualify_reference_methods.py</w:t>
        <w:br/>
        <w:t>python RP1_Project/rp1_analysis/scripts/execute_notebook.py --run-id &lt;run_id&gt;</w:t>
        <w:br/>
        <w:t>python RP1_Project/rp1_analysis/scripts/validate_run.py --run-id &lt;run_id&gt; --write-report</w:t>
      </w:r>
    </w:p>
    <w:p>
      <w:r>
        <w:t>Runs record configuration hashes, governed input identities, realised sample sizes/parameters, method qualification, output inventories and SHA-256 hashes. Current human-readable methods documents are repository-owned under docs/ and their exact bytes are bound by data/authorities/methods_document_authority.json. Historical scientific run metadata are not rewritten by a documentation-only authority update.</w:t>
      </w:r>
    </w:p>
    <w:p>
      <w:pPr>
        <w:pStyle w:val="Heading1"/>
      </w:pPr>
      <w:r>
        <w:t>12. Interpretation boundaries</w:t>
      </w:r>
    </w:p>
    <w:p>
      <w:pPr>
        <w:pStyle w:val="ListBullet"/>
      </w:pPr>
      <w:r>
        <w:t>MCD64A1 and VIIRS observe different manifestations of fire and are not interchangeable measurements or ground truth.</w:t>
      </w:r>
    </w:p>
    <w:p>
      <w:pPr>
        <w:pStyle w:val="ListBullet"/>
      </w:pPr>
      <w:r>
        <w:t>Satellite omission/commission, overpass timing, atmospheric obscuration, canopy/surface conditions, viewing geometry, product resolution and monthly aggregation can contribute to disagreement.</w:t>
      </w:r>
    </w:p>
    <w:p>
      <w:pPr>
        <w:pStyle w:val="ListBullet"/>
      </w:pPr>
      <w:r>
        <w:t>Districts are reporting units, not causal fire-process units.</w:t>
      </w:r>
    </w:p>
    <w:p>
      <w:pPr>
        <w:pStyle w:val="ListBullet"/>
      </w:pPr>
      <w:r>
        <w:t>RQ2 has only 24 annual observations per ACZ and inference is tied to the prespecified studentized permutation procedure and its reference scope.</w:t>
      </w:r>
    </w:p>
    <w:p>
      <w:pPr>
        <w:pStyle w:val="ListBullet"/>
      </w:pPr>
      <w:r>
        <w:t>RQ2 non-rejection does not demonstrate absence of temporal change; Sen slopes are effect estimates and are not causal.</w:t>
      </w:r>
    </w:p>
    <w:p>
      <w:pPr>
        <w:pStyle w:val="ListBullet"/>
      </w:pPr>
      <w:r>
        <w:t>RQ3 is conditional on VIIRS positivity and estimates marginal associations with mapped-burn absence, not product accuracy or causal mechanisms.</w:t>
      </w:r>
    </w:p>
    <w:p>
      <w:pPr>
        <w:pStyle w:val="ListBullet"/>
      </w:pPr>
      <w:r>
        <w:t>SaTScan clusters are statistically unusual concentrations under the governed model, not ignition causes, permanent hotspot classifications or causal risk zones.</w:t>
      </w:r>
    </w:p>
    <w:p>
      <w:pPr>
        <w:pStyle w:val="Heading1"/>
      </w:pPr>
      <w:r>
        <w:t>13. Reference-method scope and parameter provenance</w:t>
      </w:r>
    </w:p>
    <w:p>
      <w:r>
        <w:t>Independent reference fixtures validate numerical implementations without owning the Ghana study design and do not import the production function under test as the reference calculation. For the Romano-Tirlea method, the supplied reference paper explicitly states the global stationarity null, the no-ties condition and weak-dependence/positive-variance/bandwidth conditions. The product therefore distinguishes generic rank-kernel tie behaviour from inferential qualification and fails closed on tied annual RQ2 input.</w:t>
      </w:r>
    </w:p>
    <w:p>
      <w:r>
        <w:t>Method provenance is explicit: method-derived mathematical structure is separated from prospectively governed finite-sample and reproducibility choices. This prevents documentation from overstating what the external theorem uniquely prescribes.</w:t>
      </w:r>
    </w:p>
    <w:p>
      <w:pPr>
        <w:pStyle w:val="Heading1"/>
      </w:pPr>
      <w:r>
        <w:t>14. References</w:t>
      </w:r>
    </w:p>
    <w:p>
      <w:pPr>
        <w:ind w:hanging="283" w:left="283"/>
      </w:pPr>
      <w:r>
        <w:t>Lian et al. (2024), Ecology and Evolution. doi:10.1002/ece3.70637.</w:t>
      </w:r>
    </w:p>
    <w:p>
      <w:pPr>
        <w:ind w:hanging="283" w:left="283"/>
      </w:pPr>
      <w:r>
        <w:t>Otieno and Anderson-Cook (2006), Environmental and Ecological Statistics. doi:10.1007/s10651-004-0014-5.</w:t>
      </w:r>
    </w:p>
    <w:p>
      <w:pPr>
        <w:ind w:hanging="283" w:left="283"/>
      </w:pPr>
      <w:r>
        <w:t>Bivand and Wong (2018), TEST. doi:10.1007/s11749-018-0599-x.</w:t>
      </w:r>
    </w:p>
    <w:p>
      <w:pPr>
        <w:ind w:hanging="283" w:left="283"/>
      </w:pPr>
      <w:r>
        <w:t>Moran (1950), Biometrika. doi:10.1093/biomet/37.1-2.17.</w:t>
      </w:r>
    </w:p>
    <w:p>
      <w:pPr>
        <w:ind w:hanging="283" w:left="283"/>
      </w:pPr>
      <w:r>
        <w:t>Anselin (1995); Castro and Singer (2006). doi:10.1111/j.1538-4632.1995.tb00338.x.</w:t>
      </w:r>
    </w:p>
    <w:p>
      <w:pPr>
        <w:ind w:hanging="283" w:left="283"/>
      </w:pPr>
      <w:r>
        <w:t>Sen (1968), Journal of the American Statistical Association. doi:10.1080/01621459.1968.10480934.</w:t>
      </w:r>
    </w:p>
    <w:p>
      <w:pPr>
        <w:ind w:hanging="283" w:left="283"/>
      </w:pPr>
      <w:r>
        <w:t>Romano JP, Tirlea MA (2024). Permutation Testing for Monotone Trend. arXiv:2404.06239v2 (10 April 2024). Journal authority recorded in method_authorities.yml: doi:10.1111/jtsa.12850.</w:t>
      </w:r>
    </w:p>
    <w:p>
      <w:pPr>
        <w:ind w:hanging="283" w:left="283"/>
      </w:pPr>
      <w:r>
        <w:t>Benjamini and Hochberg (1995), JRSS B. doi:10.1111/j.2517-6161.1995.tb02031.x.</w:t>
      </w:r>
    </w:p>
    <w:p>
      <w:pPr>
        <w:ind w:hanging="283" w:left="283"/>
      </w:pPr>
      <w:r>
        <w:t>Mondol and Rahman (2019), Statistics in Medicine. doi:10.1002/sim.8126.</w:t>
      </w:r>
    </w:p>
    <w:p>
      <w:pPr>
        <w:ind w:hanging="283" w:left="283"/>
      </w:pPr>
      <w:r>
        <w:t>Liang and Zeger (1986), Biometrika. doi:10.1093/biomet/73.1.13.</w:t>
      </w:r>
    </w:p>
    <w:p>
      <w:pPr>
        <w:ind w:hanging="283" w:left="283"/>
      </w:pPr>
      <w:r>
        <w:t>Morel, Bokossa and Neerchal (2003), Biometrical Journal. doi:10.1002/bimj.200390021.</w:t>
      </w:r>
    </w:p>
    <w:p>
      <w:pPr>
        <w:ind w:hanging="283" w:left="283"/>
      </w:pPr>
      <w:r>
        <w:t>Kulldorff et al. (2005), PLoS Medicine. doi:10.1371/journal.pmed.0020059.</w:t>
      </w:r>
    </w:p>
    <w:p>
      <w:pPr>
        <w:ind w:hanging="283" w:left="283"/>
      </w:pPr>
      <w:r>
        <w:t>Kulldorff retrospective space-time discrete Poisson scan statistic.</w:t>
      </w:r>
    </w:p>
    <w:p>
      <w:pPr>
        <w:pStyle w:val="Heading1"/>
      </w:pPr>
      <w:r>
        <w:t>Appendix A. Fixed parameter register</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417"/>
            <w:shd w:fill="D9E2F3"/>
            <w:vAlign w:val="center"/>
            <w:tcMar>
              <w:top w:w="70" w:type="dxa"/>
              <w:start w:w="90" w:type="dxa"/>
              <w:bottom w:w="70" w:type="dxa"/>
              <w:end w:w="90" w:type="dxa"/>
            </w:tcMar>
          </w:tcPr>
          <w:p>
            <w:r>
              <w:rPr>
                <w:b/>
                <w:sz w:val="17"/>
              </w:rPr>
              <w:t>Area</w:t>
            </w:r>
          </w:p>
        </w:tc>
        <w:tc>
          <w:tcPr>
            <w:tcW w:type="dxa" w:w="2835"/>
            <w:shd w:fill="D9E2F3"/>
            <w:vAlign w:val="center"/>
            <w:tcMar>
              <w:top w:w="70" w:type="dxa"/>
              <w:start w:w="90" w:type="dxa"/>
              <w:bottom w:w="70" w:type="dxa"/>
              <w:end w:w="90" w:type="dxa"/>
            </w:tcMar>
          </w:tcPr>
          <w:p>
            <w:r>
              <w:rPr>
                <w:b/>
                <w:sz w:val="17"/>
              </w:rPr>
              <w:t>Parameter</w:t>
            </w:r>
          </w:p>
        </w:tc>
        <w:tc>
          <w:tcPr>
            <w:tcW w:type="dxa" w:w="4932"/>
            <w:shd w:fill="D9E2F3"/>
            <w:vAlign w:val="center"/>
            <w:tcMar>
              <w:top w:w="70" w:type="dxa"/>
              <w:start w:w="90" w:type="dxa"/>
              <w:bottom w:w="70" w:type="dxa"/>
              <w:end w:w="90" w:type="dxa"/>
            </w:tcMar>
          </w:tcPr>
          <w:p>
            <w:r>
              <w:rPr>
                <w:b/>
                <w:sz w:val="17"/>
              </w:rPr>
              <w:t>Specification</w:t>
            </w:r>
          </w:p>
        </w:tc>
      </w:tr>
      <w:tr>
        <w:trPr>
          <w:cantSplit/>
        </w:trPr>
        <w:tc>
          <w:tcPr>
            <w:tcW w:type="dxa" w:w="1417"/>
            <w:vAlign w:val="top"/>
            <w:tcMar>
              <w:top w:w="70" w:type="dxa"/>
              <w:start w:w="90" w:type="dxa"/>
              <w:bottom w:w="70" w:type="dxa"/>
              <w:end w:w="90" w:type="dxa"/>
            </w:tcMar>
          </w:tcPr>
          <w:p>
            <w:pPr>
              <w:spacing w:after="0"/>
            </w:pPr>
            <w:r>
              <w:rPr>
                <w:sz w:val="16"/>
              </w:rPr>
              <w:t>General</w:t>
            </w:r>
          </w:p>
        </w:tc>
        <w:tc>
          <w:tcPr>
            <w:tcW w:type="dxa" w:w="2835"/>
            <w:vAlign w:val="top"/>
            <w:tcMar>
              <w:top w:w="70" w:type="dxa"/>
              <w:start w:w="90" w:type="dxa"/>
              <w:bottom w:w="70" w:type="dxa"/>
              <w:end w:w="90" w:type="dxa"/>
            </w:tcMar>
          </w:tcPr>
          <w:p>
            <w:pPr>
              <w:spacing w:after="0"/>
            </w:pPr>
            <w:r>
              <w:rPr>
                <w:sz w:val="16"/>
              </w:rPr>
              <w:t>alpha</w:t>
            </w:r>
          </w:p>
        </w:tc>
        <w:tc>
          <w:tcPr>
            <w:tcW w:type="dxa" w:w="4932"/>
            <w:vAlign w:val="top"/>
            <w:tcMar>
              <w:top w:w="70" w:type="dxa"/>
              <w:start w:w="90" w:type="dxa"/>
              <w:bottom w:w="70" w:type="dxa"/>
              <w:end w:w="90" w:type="dxa"/>
            </w:tcMar>
          </w:tcPr>
          <w:p>
            <w:pPr>
              <w:spacing w:after="0"/>
            </w:pPr>
            <w:r>
              <w:rPr>
                <w:sz w:val="16"/>
              </w:rPr>
              <w:t>0.05</w:t>
            </w:r>
          </w:p>
        </w:tc>
      </w:tr>
      <w:tr>
        <w:trPr>
          <w:cantSplit/>
        </w:trPr>
        <w:tc>
          <w:tcPr>
            <w:tcW w:type="dxa" w:w="1417"/>
            <w:vAlign w:val="top"/>
            <w:tcMar>
              <w:top w:w="70" w:type="dxa"/>
              <w:start w:w="90" w:type="dxa"/>
              <w:bottom w:w="70" w:type="dxa"/>
              <w:end w:w="90" w:type="dxa"/>
            </w:tcMar>
          </w:tcPr>
          <w:p>
            <w:pPr>
              <w:spacing w:after="0"/>
            </w:pPr>
            <w:r>
              <w:rPr>
                <w:sz w:val="16"/>
              </w:rPr>
              <w:t>General</w:t>
            </w:r>
          </w:p>
        </w:tc>
        <w:tc>
          <w:tcPr>
            <w:tcW w:type="dxa" w:w="2835"/>
            <w:vAlign w:val="top"/>
            <w:tcMar>
              <w:top w:w="70" w:type="dxa"/>
              <w:start w:w="90" w:type="dxa"/>
              <w:bottom w:w="70" w:type="dxa"/>
              <w:end w:w="90" w:type="dxa"/>
            </w:tcMar>
          </w:tcPr>
          <w:p>
            <w:pPr>
              <w:spacing w:after="0"/>
            </w:pPr>
            <w:r>
              <w:rPr>
                <w:sz w:val="16"/>
              </w:rPr>
              <w:t>RP1 stochastic seed</w:t>
            </w:r>
          </w:p>
        </w:tc>
        <w:tc>
          <w:tcPr>
            <w:tcW w:type="dxa" w:w="4932"/>
            <w:vAlign w:val="top"/>
            <w:tcMar>
              <w:top w:w="70" w:type="dxa"/>
              <w:start w:w="90" w:type="dxa"/>
              <w:bottom w:w="70" w:type="dxa"/>
              <w:end w:w="90" w:type="dxa"/>
            </w:tcMar>
          </w:tcPr>
          <w:p>
            <w:pPr>
              <w:spacing w:after="0"/>
            </w:pPr>
            <w:r>
              <w:rPr>
                <w:sz w:val="16"/>
              </w:rPr>
              <w:t>20260822</w:t>
            </w:r>
          </w:p>
        </w:tc>
      </w:tr>
      <w:tr>
        <w:trPr>
          <w:cantSplit/>
        </w:trPr>
        <w:tc>
          <w:tcPr>
            <w:tcW w:type="dxa" w:w="1417"/>
            <w:vAlign w:val="top"/>
            <w:tcMar>
              <w:top w:w="70" w:type="dxa"/>
              <w:start w:w="90" w:type="dxa"/>
              <w:bottom w:w="70" w:type="dxa"/>
              <w:end w:w="90" w:type="dxa"/>
            </w:tcMar>
          </w:tcPr>
          <w:p>
            <w:pPr>
              <w:spacing w:after="0"/>
            </w:pPr>
            <w:r>
              <w:rPr>
                <w:sz w:val="16"/>
              </w:rPr>
              <w:t>RQ1</w:t>
            </w:r>
          </w:p>
        </w:tc>
        <w:tc>
          <w:tcPr>
            <w:tcW w:type="dxa" w:w="2835"/>
            <w:vAlign w:val="top"/>
            <w:tcMar>
              <w:top w:w="70" w:type="dxa"/>
              <w:start w:w="90" w:type="dxa"/>
              <w:bottom w:w="70" w:type="dxa"/>
              <w:end w:w="90" w:type="dxa"/>
            </w:tcMar>
          </w:tcPr>
          <w:p>
            <w:pPr>
              <w:spacing w:after="0"/>
            </w:pPr>
            <w:r>
              <w:rPr>
                <w:sz w:val="16"/>
              </w:rPr>
              <w:t>BA denominator</w:t>
            </w:r>
          </w:p>
        </w:tc>
        <w:tc>
          <w:tcPr>
            <w:tcW w:type="dxa" w:w="4932"/>
            <w:vAlign w:val="top"/>
            <w:tcMar>
              <w:top w:w="70" w:type="dxa"/>
              <w:start w:w="90" w:type="dxa"/>
              <w:bottom w:w="70" w:type="dxa"/>
              <w:end w:w="90" w:type="dxa"/>
            </w:tcMar>
          </w:tcPr>
          <w:p>
            <w:pPr>
              <w:spacing w:after="0"/>
            </w:pPr>
            <w:r>
              <w:rPr>
                <w:sz w:val="16"/>
              </w:rPr>
              <w:t>Fixed BA-2001 burnable union</w:t>
            </w:r>
          </w:p>
        </w:tc>
      </w:tr>
      <w:tr>
        <w:trPr>
          <w:cantSplit/>
        </w:trPr>
        <w:tc>
          <w:tcPr>
            <w:tcW w:type="dxa" w:w="1417"/>
            <w:vAlign w:val="top"/>
            <w:tcMar>
              <w:top w:w="70" w:type="dxa"/>
              <w:start w:w="90" w:type="dxa"/>
              <w:bottom w:w="70" w:type="dxa"/>
              <w:end w:w="90" w:type="dxa"/>
            </w:tcMar>
          </w:tcPr>
          <w:p>
            <w:pPr>
              <w:spacing w:after="0"/>
            </w:pPr>
            <w:r>
              <w:rPr>
                <w:sz w:val="16"/>
              </w:rPr>
              <w:t>RQ1</w:t>
            </w:r>
          </w:p>
        </w:tc>
        <w:tc>
          <w:tcPr>
            <w:tcW w:type="dxa" w:w="2835"/>
            <w:vAlign w:val="top"/>
            <w:tcMar>
              <w:top w:w="70" w:type="dxa"/>
              <w:start w:w="90" w:type="dxa"/>
              <w:bottom w:w="70" w:type="dxa"/>
              <w:end w:w="90" w:type="dxa"/>
            </w:tcMar>
          </w:tcPr>
          <w:p>
            <w:pPr>
              <w:spacing w:after="0"/>
            </w:pPr>
            <w:r>
              <w:rPr>
                <w:sz w:val="16"/>
              </w:rPr>
              <w:t>Spatial weights</w:t>
            </w:r>
          </w:p>
        </w:tc>
        <w:tc>
          <w:tcPr>
            <w:tcW w:type="dxa" w:w="4932"/>
            <w:vAlign w:val="top"/>
            <w:tcMar>
              <w:top w:w="70" w:type="dxa"/>
              <w:start w:w="90" w:type="dxa"/>
              <w:bottom w:w="70" w:type="dxa"/>
              <w:end w:w="90" w:type="dxa"/>
            </w:tcMar>
          </w:tcPr>
          <w:p>
            <w:pPr>
              <w:spacing w:after="0"/>
            </w:pPr>
            <w:r>
              <w:rPr>
                <w:sz w:val="16"/>
              </w:rPr>
              <w:t>First-order Queen; row-standardised; islands excluded</w:t>
            </w:r>
          </w:p>
        </w:tc>
      </w:tr>
      <w:tr>
        <w:trPr>
          <w:cantSplit/>
        </w:trPr>
        <w:tc>
          <w:tcPr>
            <w:tcW w:type="dxa" w:w="1417"/>
            <w:vAlign w:val="top"/>
            <w:tcMar>
              <w:top w:w="70" w:type="dxa"/>
              <w:start w:w="90" w:type="dxa"/>
              <w:bottom w:w="70" w:type="dxa"/>
              <w:end w:w="90" w:type="dxa"/>
            </w:tcMar>
          </w:tcPr>
          <w:p>
            <w:pPr>
              <w:spacing w:after="0"/>
            </w:pPr>
            <w:r>
              <w:rPr>
                <w:sz w:val="16"/>
              </w:rPr>
              <w:t>RQ1</w:t>
            </w:r>
          </w:p>
        </w:tc>
        <w:tc>
          <w:tcPr>
            <w:tcW w:type="dxa" w:w="2835"/>
            <w:vAlign w:val="top"/>
            <w:tcMar>
              <w:top w:w="70" w:type="dxa"/>
              <w:start w:w="90" w:type="dxa"/>
              <w:bottom w:w="70" w:type="dxa"/>
              <w:end w:w="90" w:type="dxa"/>
            </w:tcMar>
          </w:tcPr>
          <w:p>
            <w:pPr>
              <w:spacing w:after="0"/>
            </w:pPr>
            <w:r>
              <w:rPr>
                <w:sz w:val="16"/>
              </w:rPr>
              <w:t>Global Moran</w:t>
            </w:r>
          </w:p>
        </w:tc>
        <w:tc>
          <w:tcPr>
            <w:tcW w:type="dxa" w:w="4932"/>
            <w:vAlign w:val="top"/>
            <w:tcMar>
              <w:top w:w="70" w:type="dxa"/>
              <w:start w:w="90" w:type="dxa"/>
              <w:bottom w:w="70" w:type="dxa"/>
              <w:end w:w="90" w:type="dxa"/>
            </w:tcMar>
          </w:tcPr>
          <w:p>
            <w:pPr>
              <w:spacing w:after="0"/>
            </w:pPr>
            <w:r>
              <w:rPr>
                <w:sz w:val="16"/>
              </w:rPr>
              <w:t>One national result; 9,999 permutations</w:t>
            </w:r>
          </w:p>
        </w:tc>
      </w:tr>
      <w:tr>
        <w:trPr>
          <w:cantSplit/>
        </w:trPr>
        <w:tc>
          <w:tcPr>
            <w:tcW w:type="dxa" w:w="1417"/>
            <w:vAlign w:val="top"/>
            <w:tcMar>
              <w:top w:w="70" w:type="dxa"/>
              <w:start w:w="90" w:type="dxa"/>
              <w:bottom w:w="70" w:type="dxa"/>
              <w:end w:w="90" w:type="dxa"/>
            </w:tcMar>
          </w:tcPr>
          <w:p>
            <w:pPr>
              <w:spacing w:after="0"/>
            </w:pPr>
            <w:r>
              <w:rPr>
                <w:sz w:val="16"/>
              </w:rPr>
              <w:t>RQ1</w:t>
            </w:r>
          </w:p>
        </w:tc>
        <w:tc>
          <w:tcPr>
            <w:tcW w:type="dxa" w:w="2835"/>
            <w:vAlign w:val="top"/>
            <w:tcMar>
              <w:top w:w="70" w:type="dxa"/>
              <w:start w:w="90" w:type="dxa"/>
              <w:bottom w:w="70" w:type="dxa"/>
              <w:end w:w="90" w:type="dxa"/>
            </w:tcMar>
          </w:tcPr>
          <w:p>
            <w:pPr>
              <w:spacing w:after="0"/>
            </w:pPr>
            <w:r>
              <w:rPr>
                <w:sz w:val="16"/>
              </w:rPr>
              <w:t>Local Moran</w:t>
            </w:r>
          </w:p>
        </w:tc>
        <w:tc>
          <w:tcPr>
            <w:tcW w:type="dxa" w:w="4932"/>
            <w:vAlign w:val="top"/>
            <w:tcMar>
              <w:top w:w="70" w:type="dxa"/>
              <w:start w:w="90" w:type="dxa"/>
              <w:bottom w:w="70" w:type="dxa"/>
              <w:end w:w="90" w:type="dxa"/>
            </w:tcMar>
          </w:tcPr>
          <w:p>
            <w:pPr>
              <w:spacing w:after="0"/>
            </w:pPr>
            <w:r>
              <w:rPr>
                <w:sz w:val="16"/>
              </w:rPr>
              <w:t>9,999 conditional permutations; BH-FDR</w:t>
            </w:r>
          </w:p>
        </w:tc>
      </w:tr>
      <w:tr>
        <w:trPr>
          <w:cantSplit/>
        </w:trPr>
        <w:tc>
          <w:tcPr>
            <w:tcW w:type="dxa" w:w="1417"/>
            <w:vAlign w:val="top"/>
            <w:tcMar>
              <w:top w:w="70" w:type="dxa"/>
              <w:start w:w="90" w:type="dxa"/>
              <w:bottom w:w="70" w:type="dxa"/>
              <w:end w:w="90" w:type="dxa"/>
            </w:tcMar>
          </w:tcPr>
          <w:p>
            <w:pPr>
              <w:spacing w:after="0"/>
            </w:pPr>
            <w:r>
              <w:rPr>
                <w:sz w:val="16"/>
              </w:rPr>
              <w:t>RQ1</w:t>
            </w:r>
          </w:p>
        </w:tc>
        <w:tc>
          <w:tcPr>
            <w:tcW w:type="dxa" w:w="2835"/>
            <w:vAlign w:val="top"/>
            <w:tcMar>
              <w:top w:w="70" w:type="dxa"/>
              <w:start w:w="90" w:type="dxa"/>
              <w:bottom w:w="70" w:type="dxa"/>
              <w:end w:w="90" w:type="dxa"/>
            </w:tcMar>
          </w:tcPr>
          <w:p>
            <w:pPr>
              <w:spacing w:after="0"/>
            </w:pPr>
            <w:r>
              <w:rPr>
                <w:sz w:val="16"/>
              </w:rPr>
              <w:t>Circular month</w:t>
            </w:r>
          </w:p>
        </w:tc>
        <w:tc>
          <w:tcPr>
            <w:tcW w:type="dxa" w:w="4932"/>
            <w:vAlign w:val="top"/>
            <w:tcMar>
              <w:top w:w="70" w:type="dxa"/>
              <w:start w:w="90" w:type="dxa"/>
              <w:bottom w:w="70" w:type="dxa"/>
              <w:end w:w="90" w:type="dxa"/>
            </w:tcMar>
          </w:tcPr>
          <w:p>
            <w:pPr>
              <w:spacing w:after="0"/>
            </w:pPr>
            <w:r>
              <w:rPr>
                <w:sz w:val="16"/>
              </w:rPr>
              <w:t>Cyclic continuous coordinate; 0 equivalent to 12</w:t>
            </w:r>
          </w:p>
        </w:tc>
      </w:tr>
      <w:tr>
        <w:trPr>
          <w:cantSplit/>
        </w:trPr>
        <w:tc>
          <w:tcPr>
            <w:tcW w:type="dxa" w:w="1417"/>
            <w:vAlign w:val="top"/>
            <w:tcMar>
              <w:top w:w="70" w:type="dxa"/>
              <w:start w:w="90" w:type="dxa"/>
              <w:bottom w:w="70" w:type="dxa"/>
              <w:end w:w="90" w:type="dxa"/>
            </w:tcMar>
          </w:tcPr>
          <w:p>
            <w:pPr>
              <w:spacing w:after="0"/>
            </w:pPr>
            <w:r>
              <w:rPr>
                <w:sz w:val="16"/>
              </w:rPr>
              <w:t>RQ2</w:t>
            </w:r>
          </w:p>
        </w:tc>
        <w:tc>
          <w:tcPr>
            <w:tcW w:type="dxa" w:w="2835"/>
            <w:vAlign w:val="top"/>
            <w:tcMar>
              <w:top w:w="70" w:type="dxa"/>
              <w:start w:w="90" w:type="dxa"/>
              <w:bottom w:w="70" w:type="dxa"/>
              <w:end w:w="90" w:type="dxa"/>
            </w:tcMar>
          </w:tcPr>
          <w:p>
            <w:pPr>
              <w:spacing w:after="0"/>
            </w:pPr>
            <w:r>
              <w:rPr>
                <w:sz w:val="16"/>
              </w:rPr>
              <w:t>Effect</w:t>
            </w:r>
          </w:p>
        </w:tc>
        <w:tc>
          <w:tcPr>
            <w:tcW w:type="dxa" w:w="4932"/>
            <w:vAlign w:val="top"/>
            <w:tcMar>
              <w:top w:w="70" w:type="dxa"/>
              <w:start w:w="90" w:type="dxa"/>
              <w:bottom w:w="70" w:type="dxa"/>
              <w:end w:w="90" w:type="dxa"/>
            </w:tcMar>
          </w:tcPr>
          <w:p>
            <w:pPr>
              <w:spacing w:after="0"/>
            </w:pPr>
            <w:r>
              <w:rPr>
                <w:sz w:val="16"/>
              </w:rPr>
              <w:t>Sen slope</w:t>
            </w:r>
          </w:p>
        </w:tc>
      </w:tr>
      <w:tr>
        <w:trPr>
          <w:cantSplit/>
        </w:trPr>
        <w:tc>
          <w:tcPr>
            <w:tcW w:type="dxa" w:w="1417"/>
            <w:vAlign w:val="top"/>
            <w:tcMar>
              <w:top w:w="70" w:type="dxa"/>
              <w:start w:w="90" w:type="dxa"/>
              <w:bottom w:w="70" w:type="dxa"/>
              <w:end w:w="90" w:type="dxa"/>
            </w:tcMar>
          </w:tcPr>
          <w:p>
            <w:pPr>
              <w:spacing w:after="0"/>
            </w:pPr>
            <w:r>
              <w:rPr>
                <w:sz w:val="16"/>
              </w:rPr>
              <w:t>RQ2</w:t>
            </w:r>
          </w:p>
        </w:tc>
        <w:tc>
          <w:tcPr>
            <w:tcW w:type="dxa" w:w="2835"/>
            <w:vAlign w:val="top"/>
            <w:tcMar>
              <w:top w:w="70" w:type="dxa"/>
              <w:start w:w="90" w:type="dxa"/>
              <w:bottom w:w="70" w:type="dxa"/>
              <w:end w:w="90" w:type="dxa"/>
            </w:tcMar>
          </w:tcPr>
          <w:p>
            <w:pPr>
              <w:spacing w:after="0"/>
            </w:pPr>
            <w:r>
              <w:rPr>
                <w:sz w:val="16"/>
              </w:rPr>
              <w:t>Reference admissibility</w:t>
            </w:r>
          </w:p>
        </w:tc>
        <w:tc>
          <w:tcPr>
            <w:tcW w:type="dxa" w:w="4932"/>
            <w:vAlign w:val="top"/>
            <w:tcMar>
              <w:top w:w="70" w:type="dxa"/>
              <w:start w:w="90" w:type="dxa"/>
              <w:bottom w:w="70" w:type="dxa"/>
              <w:end w:w="90" w:type="dxa"/>
            </w:tcMar>
          </w:tcPr>
          <w:p>
            <w:pPr>
              <w:spacing w:after="0"/>
            </w:pPr>
            <w:r>
              <w:rPr>
                <w:sz w:val="16"/>
              </w:rPr>
              <w:t>Tie-free realised observations; fail closed on ties</w:t>
            </w:r>
          </w:p>
        </w:tc>
      </w:tr>
      <w:tr>
        <w:trPr>
          <w:cantSplit/>
        </w:trPr>
        <w:tc>
          <w:tcPr>
            <w:tcW w:type="dxa" w:w="1417"/>
            <w:vAlign w:val="top"/>
            <w:tcMar>
              <w:top w:w="70" w:type="dxa"/>
              <w:start w:w="90" w:type="dxa"/>
              <w:bottom w:w="70" w:type="dxa"/>
              <w:end w:w="90" w:type="dxa"/>
            </w:tcMar>
          </w:tcPr>
          <w:p>
            <w:pPr>
              <w:spacing w:after="0"/>
            </w:pPr>
            <w:r>
              <w:rPr>
                <w:sz w:val="16"/>
              </w:rPr>
              <w:t>RQ2</w:t>
            </w:r>
          </w:p>
        </w:tc>
        <w:tc>
          <w:tcPr>
            <w:tcW w:type="dxa" w:w="2835"/>
            <w:vAlign w:val="top"/>
            <w:tcMar>
              <w:top w:w="70" w:type="dxa"/>
              <w:start w:w="90" w:type="dxa"/>
              <w:bottom w:w="70" w:type="dxa"/>
              <w:end w:w="90" w:type="dxa"/>
            </w:tcMar>
          </w:tcPr>
          <w:p>
            <w:pPr>
              <w:spacing w:after="0"/>
            </w:pPr>
            <w:r>
              <w:rPr>
                <w:sz w:val="16"/>
              </w:rPr>
              <w:t>Bandwidth</w:t>
            </w:r>
          </w:p>
        </w:tc>
        <w:tc>
          <w:tcPr>
            <w:tcW w:type="dxa" w:w="4932"/>
            <w:vAlign w:val="top"/>
            <w:tcMar>
              <w:top w:w="70" w:type="dxa"/>
              <w:start w:w="90" w:type="dxa"/>
              <w:bottom w:w="70" w:type="dxa"/>
              <w:end w:w="90" w:type="dxa"/>
            </w:tcMar>
          </w:tcPr>
          <w:p>
            <w:pPr>
              <w:spacing w:after="0"/>
            </w:pPr>
            <w:r>
              <w:rPr>
                <w:sz w:val="16"/>
              </w:rPr>
              <w:t>floor(n^(1/3)); realised 2 at n=24</w:t>
            </w:r>
          </w:p>
        </w:tc>
      </w:tr>
      <w:tr>
        <w:trPr>
          <w:cantSplit/>
        </w:trPr>
        <w:tc>
          <w:tcPr>
            <w:tcW w:type="dxa" w:w="1417"/>
            <w:vAlign w:val="top"/>
            <w:tcMar>
              <w:top w:w="70" w:type="dxa"/>
              <w:start w:w="90" w:type="dxa"/>
              <w:bottom w:w="70" w:type="dxa"/>
              <w:end w:w="90" w:type="dxa"/>
            </w:tcMar>
          </w:tcPr>
          <w:p>
            <w:pPr>
              <w:spacing w:after="0"/>
            </w:pPr>
            <w:r>
              <w:rPr>
                <w:sz w:val="16"/>
              </w:rPr>
              <w:t>RQ2</w:t>
            </w:r>
          </w:p>
        </w:tc>
        <w:tc>
          <w:tcPr>
            <w:tcW w:type="dxa" w:w="2835"/>
            <w:vAlign w:val="top"/>
            <w:tcMar>
              <w:top w:w="70" w:type="dxa"/>
              <w:start w:w="90" w:type="dxa"/>
              <w:bottom w:w="70" w:type="dxa"/>
              <w:end w:w="90" w:type="dxa"/>
            </w:tcMar>
          </w:tcPr>
          <w:p>
            <w:pPr>
              <w:spacing w:after="0"/>
            </w:pPr>
            <w:r>
              <w:rPr>
                <w:sz w:val="16"/>
              </w:rPr>
              <w:t>Variance floor</w:t>
            </w:r>
          </w:p>
        </w:tc>
        <w:tc>
          <w:tcPr>
            <w:tcW w:type="dxa" w:w="4932"/>
            <w:vAlign w:val="top"/>
            <w:tcMar>
              <w:top w:w="70" w:type="dxa"/>
              <w:start w:w="90" w:type="dxa"/>
              <w:bottom w:w="70" w:type="dxa"/>
              <w:end w:w="90" w:type="dxa"/>
            </w:tcMar>
          </w:tcPr>
          <w:p>
            <w:pPr>
              <w:spacing w:after="0"/>
            </w:pPr>
            <w:r>
              <w:rPr>
                <w:sz w:val="16"/>
              </w:rPr>
              <w:t>0.001</w:t>
            </w:r>
          </w:p>
        </w:tc>
      </w:tr>
      <w:tr>
        <w:trPr>
          <w:cantSplit/>
        </w:trPr>
        <w:tc>
          <w:tcPr>
            <w:tcW w:type="dxa" w:w="1417"/>
            <w:vAlign w:val="top"/>
            <w:tcMar>
              <w:top w:w="70" w:type="dxa"/>
              <w:start w:w="90" w:type="dxa"/>
              <w:bottom w:w="70" w:type="dxa"/>
              <w:end w:w="90" w:type="dxa"/>
            </w:tcMar>
          </w:tcPr>
          <w:p>
            <w:pPr>
              <w:spacing w:after="0"/>
            </w:pPr>
            <w:r>
              <w:rPr>
                <w:sz w:val="16"/>
              </w:rPr>
              <w:t>RQ2</w:t>
            </w:r>
          </w:p>
        </w:tc>
        <w:tc>
          <w:tcPr>
            <w:tcW w:type="dxa" w:w="2835"/>
            <w:vAlign w:val="top"/>
            <w:tcMar>
              <w:top w:w="70" w:type="dxa"/>
              <w:start w:w="90" w:type="dxa"/>
              <w:bottom w:w="70" w:type="dxa"/>
              <w:end w:w="90" w:type="dxa"/>
            </w:tcMar>
          </w:tcPr>
          <w:p>
            <w:pPr>
              <w:spacing w:after="0"/>
            </w:pPr>
            <w:r>
              <w:rPr>
                <w:sz w:val="16"/>
              </w:rPr>
              <w:t>Permutations</w:t>
            </w:r>
          </w:p>
        </w:tc>
        <w:tc>
          <w:tcPr>
            <w:tcW w:type="dxa" w:w="4932"/>
            <w:vAlign w:val="top"/>
            <w:tcMar>
              <w:top w:w="70" w:type="dxa"/>
              <w:start w:w="90" w:type="dxa"/>
              <w:bottom w:w="70" w:type="dxa"/>
              <w:end w:w="90" w:type="dxa"/>
            </w:tcMar>
          </w:tcPr>
          <w:p>
            <w:pPr>
              <w:spacing w:after="0"/>
            </w:pPr>
            <w:r>
              <w:rPr>
                <w:sz w:val="16"/>
              </w:rPr>
              <w:t>9,999; two-sided absolute; plus-one p</w:t>
            </w:r>
          </w:p>
        </w:tc>
      </w:tr>
      <w:tr>
        <w:trPr>
          <w:cantSplit/>
        </w:trPr>
        <w:tc>
          <w:tcPr>
            <w:tcW w:type="dxa" w:w="1417"/>
            <w:vAlign w:val="top"/>
            <w:tcMar>
              <w:top w:w="70" w:type="dxa"/>
              <w:start w:w="90" w:type="dxa"/>
              <w:bottom w:w="70" w:type="dxa"/>
              <w:end w:w="90" w:type="dxa"/>
            </w:tcMar>
          </w:tcPr>
          <w:p>
            <w:pPr>
              <w:spacing w:after="0"/>
            </w:pPr>
            <w:r>
              <w:rPr>
                <w:sz w:val="16"/>
              </w:rPr>
              <w:t>RQ2</w:t>
            </w:r>
          </w:p>
        </w:tc>
        <w:tc>
          <w:tcPr>
            <w:tcW w:type="dxa" w:w="2835"/>
            <w:vAlign w:val="top"/>
            <w:tcMar>
              <w:top w:w="70" w:type="dxa"/>
              <w:start w:w="90" w:type="dxa"/>
              <w:bottom w:w="70" w:type="dxa"/>
              <w:end w:w="90" w:type="dxa"/>
            </w:tcMar>
          </w:tcPr>
          <w:p>
            <w:pPr>
              <w:spacing w:after="0"/>
            </w:pPr>
            <w:r>
              <w:rPr>
                <w:sz w:val="16"/>
              </w:rPr>
              <w:t>Multiplicity</w:t>
            </w:r>
          </w:p>
        </w:tc>
        <w:tc>
          <w:tcPr>
            <w:tcW w:type="dxa" w:w="4932"/>
            <w:vAlign w:val="top"/>
            <w:tcMar>
              <w:top w:w="70" w:type="dxa"/>
              <w:start w:w="90" w:type="dxa"/>
              <w:bottom w:w="70" w:type="dxa"/>
              <w:end w:w="90" w:type="dxa"/>
            </w:tcMar>
          </w:tcPr>
          <w:p>
            <w:pPr>
              <w:spacing w:after="0"/>
            </w:pPr>
            <w:r>
              <w:rPr>
                <w:sz w:val="16"/>
              </w:rPr>
              <w:t>BH over exactly five ACZ raw p-values</w:t>
            </w:r>
          </w:p>
        </w:tc>
      </w:tr>
      <w:tr>
        <w:trPr>
          <w:cantSplit/>
        </w:trPr>
        <w:tc>
          <w:tcPr>
            <w:tcW w:type="dxa" w:w="1417"/>
            <w:vAlign w:val="top"/>
            <w:tcMar>
              <w:top w:w="70" w:type="dxa"/>
              <w:start w:w="90" w:type="dxa"/>
              <w:bottom w:w="70" w:type="dxa"/>
              <w:end w:w="90" w:type="dxa"/>
            </w:tcMar>
          </w:tcPr>
          <w:p>
            <w:pPr>
              <w:spacing w:after="0"/>
            </w:pPr>
            <w:r>
              <w:rPr>
                <w:sz w:val="16"/>
              </w:rPr>
              <w:t>RQ3</w:t>
            </w:r>
          </w:p>
        </w:tc>
        <w:tc>
          <w:tcPr>
            <w:tcW w:type="dxa" w:w="2835"/>
            <w:vAlign w:val="top"/>
            <w:tcMar>
              <w:top w:w="70" w:type="dxa"/>
              <w:start w:w="90" w:type="dxa"/>
              <w:bottom w:w="70" w:type="dxa"/>
              <w:end w:w="90" w:type="dxa"/>
            </w:tcMar>
          </w:tcPr>
          <w:p>
            <w:pPr>
              <w:spacing w:after="0"/>
            </w:pPr>
            <w:r>
              <w:rPr>
                <w:sz w:val="16"/>
              </w:rPr>
              <w:t>Model</w:t>
            </w:r>
          </w:p>
        </w:tc>
        <w:tc>
          <w:tcPr>
            <w:tcW w:type="dxa" w:w="4932"/>
            <w:vAlign w:val="top"/>
            <w:tcMar>
              <w:top w:w="70" w:type="dxa"/>
              <w:start w:w="90" w:type="dxa"/>
              <w:bottom w:w="70" w:type="dxa"/>
              <w:end w:w="90" w:type="dxa"/>
            </w:tcMar>
          </w:tcPr>
          <w:p>
            <w:pPr>
              <w:spacing w:after="0"/>
            </w:pPr>
            <w:r>
              <w:rPr>
                <w:sz w:val="16"/>
              </w:rPr>
              <w:t>Firth-type penalised binomial-logit GEE</w:t>
            </w:r>
          </w:p>
        </w:tc>
      </w:tr>
      <w:tr>
        <w:trPr>
          <w:cantSplit/>
        </w:trPr>
        <w:tc>
          <w:tcPr>
            <w:tcW w:type="dxa" w:w="1417"/>
            <w:vAlign w:val="top"/>
            <w:tcMar>
              <w:top w:w="70" w:type="dxa"/>
              <w:start w:w="90" w:type="dxa"/>
              <w:bottom w:w="70" w:type="dxa"/>
              <w:end w:w="90" w:type="dxa"/>
            </w:tcMar>
          </w:tcPr>
          <w:p>
            <w:pPr>
              <w:spacing w:after="0"/>
            </w:pPr>
            <w:r>
              <w:rPr>
                <w:sz w:val="16"/>
              </w:rPr>
              <w:t>RQ3</w:t>
            </w:r>
          </w:p>
        </w:tc>
        <w:tc>
          <w:tcPr>
            <w:tcW w:type="dxa" w:w="2835"/>
            <w:vAlign w:val="top"/>
            <w:tcMar>
              <w:top w:w="70" w:type="dxa"/>
              <w:start w:w="90" w:type="dxa"/>
              <w:bottom w:w="70" w:type="dxa"/>
              <w:end w:w="90" w:type="dxa"/>
            </w:tcMar>
          </w:tcPr>
          <w:p>
            <w:pPr>
              <w:spacing w:after="0"/>
            </w:pPr>
            <w:r>
              <w:rPr>
                <w:sz w:val="16"/>
              </w:rPr>
              <w:t>Working correlation</w:t>
            </w:r>
          </w:p>
        </w:tc>
        <w:tc>
          <w:tcPr>
            <w:tcW w:type="dxa" w:w="4932"/>
            <w:vAlign w:val="top"/>
            <w:tcMar>
              <w:top w:w="70" w:type="dxa"/>
              <w:start w:w="90" w:type="dxa"/>
              <w:bottom w:w="70" w:type="dxa"/>
              <w:end w:w="90" w:type="dxa"/>
            </w:tcMar>
          </w:tcPr>
          <w:p>
            <w:pPr>
              <w:spacing w:after="0"/>
            </w:pPr>
            <w:r>
              <w:rPr>
                <w:sz w:val="16"/>
              </w:rPr>
              <w:t>Independence</w:t>
            </w:r>
          </w:p>
        </w:tc>
      </w:tr>
      <w:tr>
        <w:trPr>
          <w:cantSplit/>
        </w:trPr>
        <w:tc>
          <w:tcPr>
            <w:tcW w:type="dxa" w:w="1417"/>
            <w:vAlign w:val="top"/>
            <w:tcMar>
              <w:top w:w="70" w:type="dxa"/>
              <w:start w:w="90" w:type="dxa"/>
              <w:bottom w:w="70" w:type="dxa"/>
              <w:end w:w="90" w:type="dxa"/>
            </w:tcMar>
          </w:tcPr>
          <w:p>
            <w:pPr>
              <w:spacing w:after="0"/>
            </w:pPr>
            <w:r>
              <w:rPr>
                <w:sz w:val="16"/>
              </w:rPr>
              <w:t>RQ3</w:t>
            </w:r>
          </w:p>
        </w:tc>
        <w:tc>
          <w:tcPr>
            <w:tcW w:type="dxa" w:w="2835"/>
            <w:vAlign w:val="top"/>
            <w:tcMar>
              <w:top w:w="70" w:type="dxa"/>
              <w:start w:w="90" w:type="dxa"/>
              <w:bottom w:w="70" w:type="dxa"/>
              <w:end w:w="90" w:type="dxa"/>
            </w:tcMar>
          </w:tcPr>
          <w:p>
            <w:pPr>
              <w:spacing w:after="0"/>
            </w:pPr>
            <w:r>
              <w:rPr>
                <w:sz w:val="16"/>
              </w:rPr>
              <w:t>Covariance</w:t>
            </w:r>
          </w:p>
        </w:tc>
        <w:tc>
          <w:tcPr>
            <w:tcW w:type="dxa" w:w="4932"/>
            <w:vAlign w:val="top"/>
            <w:tcMar>
              <w:top w:w="70" w:type="dxa"/>
              <w:start w:w="90" w:type="dxa"/>
              <w:bottom w:w="70" w:type="dxa"/>
              <w:end w:w="90" w:type="dxa"/>
            </w:tcMar>
          </w:tcPr>
          <w:p>
            <w:pPr>
              <w:spacing w:after="0"/>
            </w:pPr>
            <w:r>
              <w:rPr>
                <w:sz w:val="16"/>
              </w:rPr>
              <w:t>Morel-Bokossa-Neerchal</w:t>
            </w:r>
          </w:p>
        </w:tc>
      </w:tr>
      <w:tr>
        <w:trPr>
          <w:cantSplit/>
        </w:trPr>
        <w:tc>
          <w:tcPr>
            <w:tcW w:type="dxa" w:w="1417"/>
            <w:vAlign w:val="top"/>
            <w:tcMar>
              <w:top w:w="70" w:type="dxa"/>
              <w:start w:w="90" w:type="dxa"/>
              <w:bottom w:w="70" w:type="dxa"/>
              <w:end w:w="90" w:type="dxa"/>
            </w:tcMar>
          </w:tcPr>
          <w:p>
            <w:pPr>
              <w:spacing w:after="0"/>
            </w:pPr>
            <w:r>
              <w:rPr>
                <w:sz w:val="16"/>
              </w:rPr>
              <w:t>RQ3</w:t>
            </w:r>
          </w:p>
        </w:tc>
        <w:tc>
          <w:tcPr>
            <w:tcW w:type="dxa" w:w="2835"/>
            <w:vAlign w:val="top"/>
            <w:tcMar>
              <w:top w:w="70" w:type="dxa"/>
              <w:start w:w="90" w:type="dxa"/>
              <w:bottom w:w="70" w:type="dxa"/>
              <w:end w:w="90" w:type="dxa"/>
            </w:tcMar>
          </w:tcPr>
          <w:p>
            <w:pPr>
              <w:spacing w:after="0"/>
            </w:pPr>
            <w:r>
              <w:rPr>
                <w:sz w:val="16"/>
              </w:rPr>
              <w:t>Inference</w:t>
            </w:r>
          </w:p>
        </w:tc>
        <w:tc>
          <w:tcPr>
            <w:tcW w:type="dxa" w:w="4932"/>
            <w:vAlign w:val="top"/>
            <w:tcMar>
              <w:top w:w="70" w:type="dxa"/>
              <w:start w:w="90" w:type="dxa"/>
              <w:bottom w:w="70" w:type="dxa"/>
              <w:end w:w="90" w:type="dxa"/>
            </w:tcMar>
          </w:tcPr>
          <w:p>
            <w:pPr>
              <w:spacing w:after="0"/>
            </w:pPr>
            <w:r>
              <w:rPr>
                <w:sz w:val="16"/>
              </w:rPr>
              <w:t>Standard-normal Wald</w:t>
            </w:r>
          </w:p>
        </w:tc>
      </w:tr>
      <w:tr>
        <w:trPr>
          <w:cantSplit/>
        </w:trPr>
        <w:tc>
          <w:tcPr>
            <w:tcW w:type="dxa" w:w="1417"/>
            <w:vAlign w:val="top"/>
            <w:tcMar>
              <w:top w:w="70" w:type="dxa"/>
              <w:start w:w="90" w:type="dxa"/>
              <w:bottom w:w="70" w:type="dxa"/>
              <w:end w:w="90" w:type="dxa"/>
            </w:tcMar>
          </w:tcPr>
          <w:p>
            <w:pPr>
              <w:spacing w:after="0"/>
            </w:pPr>
            <w:r>
              <w:rPr>
                <w:sz w:val="16"/>
              </w:rPr>
              <w:t>RQ3</w:t>
            </w:r>
          </w:p>
        </w:tc>
        <w:tc>
          <w:tcPr>
            <w:tcW w:type="dxa" w:w="2835"/>
            <w:vAlign w:val="top"/>
            <w:tcMar>
              <w:top w:w="70" w:type="dxa"/>
              <w:start w:w="90" w:type="dxa"/>
              <w:bottom w:w="70" w:type="dxa"/>
              <w:end w:w="90" w:type="dxa"/>
            </w:tcMar>
          </w:tcPr>
          <w:p>
            <w:pPr>
              <w:spacing w:after="0"/>
            </w:pPr>
            <w:r>
              <w:rPr>
                <w:sz w:val="16"/>
              </w:rPr>
              <w:t>Design</w:t>
            </w:r>
          </w:p>
        </w:tc>
        <w:tc>
          <w:tcPr>
            <w:tcW w:type="dxa" w:w="4932"/>
            <w:vAlign w:val="top"/>
            <w:tcMar>
              <w:top w:w="70" w:type="dxa"/>
              <w:start w:w="90" w:type="dxa"/>
              <w:bottom w:w="70" w:type="dxa"/>
              <w:end w:w="90" w:type="dxa"/>
            </w:tcMar>
          </w:tcPr>
          <w:p>
            <w:pPr>
              <w:spacing w:after="0"/>
            </w:pPr>
            <w:r>
              <w:rPr>
                <w:sz w:val="16"/>
              </w:rPr>
              <w:t>31 columns</w:t>
            </w:r>
          </w:p>
        </w:tc>
      </w:tr>
      <w:tr>
        <w:trPr>
          <w:cantSplit/>
        </w:trPr>
        <w:tc>
          <w:tcPr>
            <w:tcW w:type="dxa" w:w="1417"/>
            <w:vAlign w:val="top"/>
            <w:tcMar>
              <w:top w:w="70" w:type="dxa"/>
              <w:start w:w="90" w:type="dxa"/>
              <w:bottom w:w="70" w:type="dxa"/>
              <w:end w:w="90" w:type="dxa"/>
            </w:tcMar>
          </w:tcPr>
          <w:p>
            <w:pPr>
              <w:spacing w:after="0"/>
            </w:pPr>
            <w:r>
              <w:rPr>
                <w:sz w:val="16"/>
              </w:rPr>
              <w:t>Secondary</w:t>
            </w:r>
          </w:p>
        </w:tc>
        <w:tc>
          <w:tcPr>
            <w:tcW w:type="dxa" w:w="2835"/>
            <w:vAlign w:val="top"/>
            <w:tcMar>
              <w:top w:w="70" w:type="dxa"/>
              <w:start w:w="90" w:type="dxa"/>
              <w:bottom w:w="70" w:type="dxa"/>
              <w:end w:w="90" w:type="dxa"/>
            </w:tcMar>
          </w:tcPr>
          <w:p>
            <w:pPr>
              <w:spacing w:after="0"/>
            </w:pPr>
            <w:r>
              <w:rPr>
                <w:sz w:val="16"/>
              </w:rPr>
              <w:t>MCD</w:t>
            </w:r>
          </w:p>
        </w:tc>
        <w:tc>
          <w:tcPr>
            <w:tcW w:type="dxa" w:w="4932"/>
            <w:vAlign w:val="top"/>
            <w:tcMar>
              <w:top w:w="70" w:type="dxa"/>
              <w:start w:w="90" w:type="dxa"/>
              <w:bottom w:w="70" w:type="dxa"/>
              <w:end w:w="90" w:type="dxa"/>
            </w:tcMar>
          </w:tcPr>
          <w:p>
            <w:pPr>
              <w:spacing w:after="0"/>
            </w:pPr>
            <w:r>
              <w:rPr>
                <w:sz w:val="16"/>
              </w:rPr>
              <w:t>Retrospective discrete Poisson with fixed BA-2001 exposure</w:t>
            </w:r>
          </w:p>
        </w:tc>
      </w:tr>
      <w:tr>
        <w:trPr>
          <w:cantSplit/>
        </w:trPr>
        <w:tc>
          <w:tcPr>
            <w:tcW w:type="dxa" w:w="1417"/>
            <w:vAlign w:val="top"/>
            <w:tcMar>
              <w:top w:w="70" w:type="dxa"/>
              <w:start w:w="90" w:type="dxa"/>
              <w:bottom w:w="70" w:type="dxa"/>
              <w:end w:w="90" w:type="dxa"/>
            </w:tcMar>
          </w:tcPr>
          <w:p>
            <w:pPr>
              <w:spacing w:after="0"/>
            </w:pPr>
            <w:r>
              <w:rPr>
                <w:sz w:val="16"/>
              </w:rPr>
              <w:t>Secondary</w:t>
            </w:r>
          </w:p>
        </w:tc>
        <w:tc>
          <w:tcPr>
            <w:tcW w:type="dxa" w:w="2835"/>
            <w:vAlign w:val="top"/>
            <w:tcMar>
              <w:top w:w="70" w:type="dxa"/>
              <w:start w:w="90" w:type="dxa"/>
              <w:bottom w:w="70" w:type="dxa"/>
              <w:end w:w="90" w:type="dxa"/>
            </w:tcMar>
          </w:tcPr>
          <w:p>
            <w:pPr>
              <w:spacing w:after="0"/>
            </w:pPr>
            <w:r>
              <w:rPr>
                <w:sz w:val="16"/>
              </w:rPr>
              <w:t>VIIRS</w:t>
            </w:r>
          </w:p>
        </w:tc>
        <w:tc>
          <w:tcPr>
            <w:tcW w:type="dxa" w:w="4932"/>
            <w:vAlign w:val="top"/>
            <w:tcMar>
              <w:top w:w="70" w:type="dxa"/>
              <w:start w:w="90" w:type="dxa"/>
              <w:bottom w:w="70" w:type="dxa"/>
              <w:end w:w="90" w:type="dxa"/>
            </w:tcMar>
          </w:tcPr>
          <w:p>
            <w:pPr>
              <w:spacing w:after="0"/>
            </w:pPr>
            <w:r>
              <w:rPr>
                <w:sz w:val="16"/>
              </w:rPr>
              <w:t>Retrospective space-time permutation; no exposure</w:t>
            </w:r>
          </w:p>
        </w:tc>
      </w:tr>
      <w:tr>
        <w:trPr>
          <w:cantSplit/>
        </w:trPr>
        <w:tc>
          <w:tcPr>
            <w:tcW w:type="dxa" w:w="1417"/>
            <w:vAlign w:val="top"/>
            <w:tcMar>
              <w:top w:w="70" w:type="dxa"/>
              <w:start w:w="90" w:type="dxa"/>
              <w:bottom w:w="70" w:type="dxa"/>
              <w:end w:w="90" w:type="dxa"/>
            </w:tcMar>
          </w:tcPr>
          <w:p>
            <w:pPr>
              <w:spacing w:after="0"/>
            </w:pPr>
            <w:r>
              <w:rPr>
                <w:sz w:val="16"/>
              </w:rPr>
              <w:t>Secondary</w:t>
            </w:r>
          </w:p>
        </w:tc>
        <w:tc>
          <w:tcPr>
            <w:tcW w:type="dxa" w:w="2835"/>
            <w:vAlign w:val="top"/>
            <w:tcMar>
              <w:top w:w="70" w:type="dxa"/>
              <w:start w:w="90" w:type="dxa"/>
              <w:bottom w:w="70" w:type="dxa"/>
              <w:end w:w="90" w:type="dxa"/>
            </w:tcMar>
          </w:tcPr>
          <w:p>
            <w:pPr>
              <w:spacing w:after="0"/>
            </w:pPr>
            <w:r>
              <w:rPr>
                <w:sz w:val="16"/>
              </w:rPr>
              <w:t>Spatial/temporal</w:t>
            </w:r>
          </w:p>
        </w:tc>
        <w:tc>
          <w:tcPr>
            <w:tcW w:type="dxa" w:w="4932"/>
            <w:vAlign w:val="top"/>
            <w:tcMar>
              <w:top w:w="70" w:type="dxa"/>
              <w:start w:w="90" w:type="dxa"/>
              <w:bottom w:w="70" w:type="dxa"/>
              <w:end w:w="90" w:type="dxa"/>
            </w:tcMar>
          </w:tcPr>
          <w:p>
            <w:pPr>
              <w:spacing w:after="0"/>
            </w:pPr>
            <w:r>
              <w:rPr>
                <w:sz w:val="16"/>
              </w:rPr>
              <w:t>50% spatial; 12 months temporal</w:t>
            </w:r>
          </w:p>
        </w:tc>
      </w:tr>
      <w:tr>
        <w:trPr>
          <w:cantSplit/>
        </w:trPr>
        <w:tc>
          <w:tcPr>
            <w:tcW w:type="dxa" w:w="1417"/>
            <w:vAlign w:val="top"/>
            <w:tcMar>
              <w:top w:w="70" w:type="dxa"/>
              <w:start w:w="90" w:type="dxa"/>
              <w:bottom w:w="70" w:type="dxa"/>
              <w:end w:w="90" w:type="dxa"/>
            </w:tcMar>
          </w:tcPr>
          <w:p>
            <w:pPr>
              <w:spacing w:after="0"/>
            </w:pPr>
            <w:r>
              <w:rPr>
                <w:sz w:val="16"/>
              </w:rPr>
              <w:t>Secondary</w:t>
            </w:r>
          </w:p>
        </w:tc>
        <w:tc>
          <w:tcPr>
            <w:tcW w:type="dxa" w:w="2835"/>
            <w:vAlign w:val="top"/>
            <w:tcMar>
              <w:top w:w="70" w:type="dxa"/>
              <w:start w:w="90" w:type="dxa"/>
              <w:bottom w:w="70" w:type="dxa"/>
              <w:end w:w="90" w:type="dxa"/>
            </w:tcMar>
          </w:tcPr>
          <w:p>
            <w:pPr>
              <w:spacing w:after="0"/>
            </w:pPr>
            <w:r>
              <w:rPr>
                <w:sz w:val="16"/>
              </w:rPr>
              <w:t>Monte Carlo</w:t>
            </w:r>
          </w:p>
        </w:tc>
        <w:tc>
          <w:tcPr>
            <w:tcW w:type="dxa" w:w="4932"/>
            <w:vAlign w:val="top"/>
            <w:tcMar>
              <w:top w:w="70" w:type="dxa"/>
              <w:start w:w="90" w:type="dxa"/>
              <w:bottom w:w="70" w:type="dxa"/>
              <w:end w:w="90" w:type="dxa"/>
            </w:tcMar>
          </w:tcPr>
          <w:p>
            <w:pPr>
              <w:spacing w:after="0"/>
            </w:pPr>
            <w:r>
              <w:rPr>
                <w:sz w:val="16"/>
              </w:rPr>
              <w:t>999</w:t>
            </w:r>
          </w:p>
        </w:tc>
      </w:tr>
      <w:tr>
        <w:trPr>
          <w:cantSplit/>
        </w:trPr>
        <w:tc>
          <w:tcPr>
            <w:tcW w:type="dxa" w:w="1417"/>
            <w:vAlign w:val="top"/>
            <w:tcMar>
              <w:top w:w="70" w:type="dxa"/>
              <w:start w:w="90" w:type="dxa"/>
              <w:bottom w:w="70" w:type="dxa"/>
              <w:end w:w="90" w:type="dxa"/>
            </w:tcMar>
          </w:tcPr>
          <w:p>
            <w:pPr>
              <w:spacing w:after="0"/>
            </w:pPr>
            <w:r>
              <w:rPr>
                <w:sz w:val="16"/>
              </w:rPr>
              <w:t>Secondary</w:t>
            </w:r>
          </w:p>
        </w:tc>
        <w:tc>
          <w:tcPr>
            <w:tcW w:type="dxa" w:w="2835"/>
            <w:vAlign w:val="top"/>
            <w:tcMar>
              <w:top w:w="70" w:type="dxa"/>
              <w:start w:w="90" w:type="dxa"/>
              <w:bottom w:w="70" w:type="dxa"/>
              <w:end w:w="90" w:type="dxa"/>
            </w:tcMar>
          </w:tcPr>
          <w:p>
            <w:pPr>
              <w:spacing w:after="0"/>
            </w:pPr>
            <w:r>
              <w:rPr>
                <w:sz w:val="16"/>
              </w:rPr>
              <w:t>Reporting</w:t>
            </w:r>
          </w:p>
        </w:tc>
        <w:tc>
          <w:tcPr>
            <w:tcW w:type="dxa" w:w="4932"/>
            <w:vAlign w:val="top"/>
            <w:tcMar>
              <w:top w:w="70" w:type="dxa"/>
              <w:start w:w="90" w:type="dxa"/>
              <w:bottom w:w="70" w:type="dxa"/>
              <w:end w:w="90" w:type="dxa"/>
            </w:tcMar>
          </w:tcPr>
          <w:p>
            <w:pPr>
              <w:spacing w:after="0"/>
            </w:pPr>
            <w:r>
              <w:rPr>
                <w:sz w:val="16"/>
              </w:rPr>
              <w:t>Hierarchical geographically non-overlapping; Gini disabled</w:t>
            </w:r>
          </w:p>
        </w:tc>
      </w:tr>
    </w:tbl>
    <w:p>
      <w:pPr>
        <w:pStyle w:val="Heading1"/>
      </w:pPr>
      <w:r>
        <w:t>Appendix B. Executable authority hashes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835"/>
            <w:shd w:fill="D9E2F3"/>
            <w:vAlign w:val="center"/>
            <w:tcMar>
              <w:top w:w="70" w:type="dxa"/>
              <w:start w:w="90" w:type="dxa"/>
              <w:bottom w:w="70" w:type="dxa"/>
              <w:end w:w="90" w:type="dxa"/>
            </w:tcMar>
          </w:tcPr>
          <w:p>
            <w:r>
              <w:rPr>
                <w:b/>
                <w:sz w:val="17"/>
              </w:rPr>
              <w:t>Authority</w:t>
            </w:r>
          </w:p>
        </w:tc>
        <w:tc>
          <w:tcPr>
            <w:tcW w:type="dxa" w:w="6236"/>
            <w:shd w:fill="D9E2F3"/>
            <w:vAlign w:val="center"/>
            <w:tcMar>
              <w:top w:w="70" w:type="dxa"/>
              <w:start w:w="90" w:type="dxa"/>
              <w:bottom w:w="70" w:type="dxa"/>
              <w:end w:w="90" w:type="dxa"/>
            </w:tcMar>
          </w:tcPr>
          <w:p>
            <w:r>
              <w:rPr>
                <w:b/>
                <w:sz w:val="17"/>
              </w:rPr>
              <w:t>SHA-256</w:t>
            </w:r>
          </w:p>
        </w:tc>
      </w:tr>
      <w:tr>
        <w:trPr>
          <w:cantSplit/>
        </w:trPr>
        <w:tc>
          <w:tcPr>
            <w:tcW w:type="dxa" w:w="2835"/>
            <w:vAlign w:val="top"/>
            <w:tcMar>
              <w:top w:w="70" w:type="dxa"/>
              <w:start w:w="90" w:type="dxa"/>
              <w:bottom w:w="70" w:type="dxa"/>
              <w:end w:w="90" w:type="dxa"/>
            </w:tcMar>
          </w:tcPr>
          <w:p>
            <w:pPr>
              <w:spacing w:after="0"/>
            </w:pPr>
            <w:r>
              <w:rPr>
                <w:sz w:val="16"/>
              </w:rPr>
              <w:t>analysis_contract.yml</w:t>
            </w:r>
          </w:p>
        </w:tc>
        <w:tc>
          <w:tcPr>
            <w:tcW w:type="dxa" w:w="6236"/>
            <w:vAlign w:val="top"/>
            <w:tcMar>
              <w:top w:w="70" w:type="dxa"/>
              <w:start w:w="90" w:type="dxa"/>
              <w:bottom w:w="70" w:type="dxa"/>
              <w:end w:w="90" w:type="dxa"/>
            </w:tcMar>
          </w:tcPr>
          <w:p>
            <w:pPr>
              <w:spacing w:after="0"/>
            </w:pPr>
            <w:r>
              <w:rPr>
                <w:sz w:val="16"/>
              </w:rPr>
              <w:t>9692b53595028e3832c0106e3476edf5d83b7d7763830777bf9c97c9629569ec</w:t>
            </w:r>
          </w:p>
        </w:tc>
      </w:tr>
      <w:tr>
        <w:trPr>
          <w:cantSplit/>
        </w:trPr>
        <w:tc>
          <w:tcPr>
            <w:tcW w:type="dxa" w:w="2835"/>
            <w:vAlign w:val="top"/>
            <w:tcMar>
              <w:top w:w="70" w:type="dxa"/>
              <w:start w:w="90" w:type="dxa"/>
              <w:bottom w:w="70" w:type="dxa"/>
              <w:end w:w="90" w:type="dxa"/>
            </w:tcMar>
          </w:tcPr>
          <w:p>
            <w:pPr>
              <w:spacing w:after="0"/>
            </w:pPr>
            <w:r>
              <w:rPr>
                <w:sz w:val="16"/>
              </w:rPr>
              <w:t>data_schema_contract.yml</w:t>
            </w:r>
          </w:p>
        </w:tc>
        <w:tc>
          <w:tcPr>
            <w:tcW w:type="dxa" w:w="6236"/>
            <w:vAlign w:val="top"/>
            <w:tcMar>
              <w:top w:w="70" w:type="dxa"/>
              <w:start w:w="90" w:type="dxa"/>
              <w:bottom w:w="70" w:type="dxa"/>
              <w:end w:w="90" w:type="dxa"/>
            </w:tcMar>
          </w:tcPr>
          <w:p>
            <w:pPr>
              <w:spacing w:after="0"/>
            </w:pPr>
            <w:r>
              <w:rPr>
                <w:sz w:val="16"/>
              </w:rPr>
              <w:t>d7b8ed574438804457e50d04b0135066161061976ca4aa8c6f0944b61a163abf</w:t>
            </w:r>
          </w:p>
        </w:tc>
      </w:tr>
      <w:tr>
        <w:trPr>
          <w:cantSplit/>
        </w:trPr>
        <w:tc>
          <w:tcPr>
            <w:tcW w:type="dxa" w:w="2835"/>
            <w:vAlign w:val="top"/>
            <w:tcMar>
              <w:top w:w="70" w:type="dxa"/>
              <w:start w:w="90" w:type="dxa"/>
              <w:bottom w:w="70" w:type="dxa"/>
              <w:end w:w="90" w:type="dxa"/>
            </w:tcMar>
          </w:tcPr>
          <w:p>
            <w:pPr>
              <w:spacing w:after="0"/>
            </w:pPr>
            <w:r>
              <w:rPr>
                <w:sz w:val="16"/>
              </w:rPr>
              <w:t>method_authorities.yml</w:t>
            </w:r>
          </w:p>
        </w:tc>
        <w:tc>
          <w:tcPr>
            <w:tcW w:type="dxa" w:w="6236"/>
            <w:vAlign w:val="top"/>
            <w:tcMar>
              <w:top w:w="70" w:type="dxa"/>
              <w:start w:w="90" w:type="dxa"/>
              <w:bottom w:w="70" w:type="dxa"/>
              <w:end w:w="90" w:type="dxa"/>
            </w:tcMar>
          </w:tcPr>
          <w:p>
            <w:pPr>
              <w:spacing w:after="0"/>
            </w:pPr>
            <w:r>
              <w:rPr>
                <w:sz w:val="16"/>
              </w:rPr>
              <w:t>248bb4aa5f0d05c75fcfd402eb68446184f7486a1060980849c8bf62ab0bdd70</w:t>
            </w:r>
          </w:p>
        </w:tc>
      </w:tr>
      <w:tr>
        <w:trPr>
          <w:cantSplit/>
        </w:trPr>
        <w:tc>
          <w:tcPr>
            <w:tcW w:type="dxa" w:w="2835"/>
            <w:vAlign w:val="top"/>
            <w:tcMar>
              <w:top w:w="70" w:type="dxa"/>
              <w:start w:w="90" w:type="dxa"/>
              <w:bottom w:w="70" w:type="dxa"/>
              <w:end w:w="90" w:type="dxa"/>
            </w:tcMar>
          </w:tcPr>
          <w:p>
            <w:pPr>
              <w:spacing w:after="0"/>
            </w:pPr>
            <w:r>
              <w:rPr>
                <w:sz w:val="16"/>
              </w:rPr>
              <w:t>output_contract.yml</w:t>
            </w:r>
          </w:p>
        </w:tc>
        <w:tc>
          <w:tcPr>
            <w:tcW w:type="dxa" w:w="6236"/>
            <w:vAlign w:val="top"/>
            <w:tcMar>
              <w:top w:w="70" w:type="dxa"/>
              <w:start w:w="90" w:type="dxa"/>
              <w:bottom w:w="70" w:type="dxa"/>
              <w:end w:w="90" w:type="dxa"/>
            </w:tcMar>
          </w:tcPr>
          <w:p>
            <w:pPr>
              <w:spacing w:after="0"/>
            </w:pPr>
            <w:r>
              <w:rPr>
                <w:sz w:val="16"/>
              </w:rPr>
              <w:t>ac4559a71526eb37969fdcd1f2572f7868ab8837a1aebc5cad9418eafab74c3d</w:t>
            </w:r>
          </w:p>
        </w:tc>
      </w:tr>
      <w:tr>
        <w:trPr>
          <w:cantSplit/>
        </w:trPr>
        <w:tc>
          <w:tcPr>
            <w:tcW w:type="dxa" w:w="2835"/>
            <w:vAlign w:val="top"/>
            <w:tcMar>
              <w:top w:w="70" w:type="dxa"/>
              <w:start w:w="90" w:type="dxa"/>
              <w:bottom w:w="70" w:type="dxa"/>
              <w:end w:w="90" w:type="dxa"/>
            </w:tcMar>
          </w:tcPr>
          <w:p>
            <w:pPr>
              <w:spacing w:after="0"/>
            </w:pPr>
            <w:r>
              <w:rPr>
                <w:sz w:val="16"/>
              </w:rPr>
              <w:t>figure_contract.yml</w:t>
            </w:r>
          </w:p>
        </w:tc>
        <w:tc>
          <w:tcPr>
            <w:tcW w:type="dxa" w:w="6236"/>
            <w:vAlign w:val="top"/>
            <w:tcMar>
              <w:top w:w="70" w:type="dxa"/>
              <w:start w:w="90" w:type="dxa"/>
              <w:bottom w:w="70" w:type="dxa"/>
              <w:end w:w="90" w:type="dxa"/>
            </w:tcMar>
          </w:tcPr>
          <w:p>
            <w:pPr>
              <w:spacing w:after="0"/>
            </w:pPr>
            <w:r>
              <w:rPr>
                <w:sz w:val="16"/>
              </w:rPr>
              <w:t>f6c549f558ac2ce62e27860dfb66ae2235c3e2ffe39faf41e3796eb1f89fa6a9</w:t>
            </w:r>
          </w:p>
        </w:tc>
      </w:tr>
      <w:tr>
        <w:trPr>
          <w:cantSplit/>
        </w:trPr>
        <w:tc>
          <w:tcPr>
            <w:tcW w:type="dxa" w:w="2835"/>
            <w:vAlign w:val="top"/>
            <w:tcMar>
              <w:top w:w="70" w:type="dxa"/>
              <w:start w:w="90" w:type="dxa"/>
              <w:bottom w:w="70" w:type="dxa"/>
              <w:end w:w="90" w:type="dxa"/>
            </w:tcMar>
          </w:tcPr>
          <w:p>
            <w:pPr>
              <w:spacing w:after="0"/>
            </w:pPr>
            <w:r>
              <w:rPr>
                <w:sz w:val="16"/>
              </w:rPr>
              <w:t>RP1_Analysis_v1.ipynb</w:t>
            </w:r>
          </w:p>
        </w:tc>
        <w:tc>
          <w:tcPr>
            <w:tcW w:type="dxa" w:w="6236"/>
            <w:vAlign w:val="top"/>
            <w:tcMar>
              <w:top w:w="70" w:type="dxa"/>
              <w:start w:w="90" w:type="dxa"/>
              <w:bottom w:w="70" w:type="dxa"/>
              <w:end w:w="90" w:type="dxa"/>
            </w:tcMar>
          </w:tcPr>
          <w:p>
            <w:pPr>
              <w:spacing w:after="0"/>
            </w:pPr>
            <w:r>
              <w:rPr>
                <w:sz w:val="16"/>
              </w:rPr>
              <w:t>68ea7cf531820161c44967f26c7d220e6fdbbe58800d3f28bf4d139c58c95787</w:t>
            </w:r>
          </w:p>
        </w:tc>
      </w:tr>
    </w:tbl>
    <w:sectPr w:rsidR="00FC693F" w:rsidRPr="0006063C" w:rsidSect="00034616">
      <w:footerReference w:type="default" r:id="rId9"/>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Ghana Fire RP1 Analysis | RP1 Analysis v1.1.0 | 28 August 2026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