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 2027 · 2028</w:t>
      </w:r>
    </w:p>
    <w:p>
      <w:pPr>
        <w:pBdr>
          <w:bottom w:val="single" w:color="9C7A2E" w:sz="12" w:space="6"/>
        </w:pBdr>
        <w:spacing w:after="200"/>
      </w:pPr>
      <w:r>
        <w:rPr>
          <w:rFonts w:ascii="Calibri" w:cs="Calibri" w:eastAsia="Calibri" w:hAnsi="Calibri"/>
          <w:i/>
          <w:iCs/>
          <w:color w:val="6B625C"/>
          <w:sz w:val="18"/>
          <w:szCs w:val="18"/>
        </w:rPr>
        <w:t xml:space="preserve">Date: 30 July 2026      ·      Status: For Doft review</w:t>
      </w:r>
    </w:p>
    <w:p>
      <w:pPr>
        <w:pBdr>
          <w:bottom w:val="single" w:color="C39A98" w:sz="8" w:space="4"/>
        </w:pBdr>
        <w:spacing w:after="120" w:before="300"/>
      </w:pPr>
      <w:r>
        <w:rPr>
          <w:rFonts w:ascii="Cambria" w:cs="Cambria" w:eastAsia="Cambria" w:hAnsi="Cambria"/>
          <w:b/>
          <w:bCs/>
          <w:color w:val="4A343A"/>
          <w:sz w:val="27"/>
          <w:szCs w:val="27"/>
        </w:rPr>
        <w:t xml:space="preserve">1.  Document Purpose</w:t>
      </w:r>
    </w:p>
    <w:p>
      <w:pPr>
        <w:spacing w:after="120"/>
      </w:pPr>
      <w:r>
        <w:rPr>
          <w:rFonts w:ascii="Calibri" w:cs="Calibri" w:eastAsia="Calibri" w:hAnsi="Calibri"/>
          <w:color w:val="2E2A28"/>
          <w:sz w:val="21"/>
          <w:szCs w:val="21"/>
        </w:rPr>
        <w:t xml:space="preserve">This document sets out ProMarcom's understanding of Doft Candles' requirement for the Diwali pop-up retail programme, and the key deliverables ProMarcom will own as the appointed operations partner. It reflects the parameters agreed with the Doft team — a compact </w:t>
      </w:r>
      <w:r>
        <w:rPr>
          <w:rFonts w:ascii="Calibri" w:cs="Calibri" w:eastAsia="Calibri" w:hAnsi="Calibri"/>
          <w:b/>
          <w:bCs/>
          <w:color w:val="2E2A28"/>
          <w:sz w:val="21"/>
          <w:szCs w:val="21"/>
        </w:rPr>
        <w:t xml:space="preserve">8 ft × 8 ft premium kiosk</w:t>
      </w:r>
      <w:r>
        <w:rPr>
          <w:rFonts w:ascii="Calibri" w:cs="Calibri" w:eastAsia="Calibri" w:hAnsi="Calibri"/>
          <w:color w:val="2E2A28"/>
          <w:sz w:val="21"/>
          <w:szCs w:val="21"/>
        </w:rPr>
        <w:t xml:space="preserve">, a </w:t>
      </w:r>
      <w:r>
        <w:rPr>
          <w:rFonts w:ascii="Calibri" w:cs="Calibri" w:eastAsia="Calibri" w:hAnsi="Calibri"/>
          <w:b/>
          <w:bCs/>
          <w:color w:val="2E2A28"/>
          <w:sz w:val="21"/>
          <w:szCs w:val="21"/>
        </w:rPr>
        <w:t xml:space="preserve">six-week operating window</w:t>
      </w:r>
      <w:r>
        <w:rPr>
          <w:rFonts w:ascii="Calibri" w:cs="Calibri" w:eastAsia="Calibri" w:hAnsi="Calibri"/>
          <w:color w:val="2E2A28"/>
          <w:sz w:val="21"/>
          <w:szCs w:val="21"/>
        </w:rPr>
        <w:t xml:space="preserve">, and a roll-out across </w:t>
      </w:r>
      <w:r>
        <w:rPr>
          <w:rFonts w:ascii="Calibri" w:cs="Calibri" w:eastAsia="Calibri" w:hAnsi="Calibri"/>
          <w:b/>
          <w:bCs/>
          <w:color w:val="2E2A28"/>
          <w:sz w:val="21"/>
          <w:szCs w:val="21"/>
        </w:rPr>
        <w:t xml:space="preserve">metro and sub-metro cities</w:t>
      </w:r>
      <w:r>
        <w:rPr>
          <w:rFonts w:ascii="Calibri" w:cs="Calibri" w:eastAsia="Calibri" w:hAnsi="Calibri"/>
          <w:color w:val="2E2A28"/>
          <w:sz w:val="21"/>
          <w:szCs w:val="21"/>
        </w:rPr>
        <w:t xml:space="preserve"> — and includes ProMarcom's recommended city footprint. Detailed commercials are covered under a separate proposal.</w:t>
      </w:r>
    </w:p>
    <w:p>
      <w:pPr>
        <w:pBdr>
          <w:bottom w:val="single" w:color="C39A98" w:sz="8" w:space="4"/>
        </w:pBdr>
        <w:spacing w:after="120" w:before="300"/>
      </w:pPr>
      <w:r>
        <w:rPr>
          <w:rFonts w:ascii="Cambria" w:cs="Cambria" w:eastAsia="Cambria" w:hAnsi="Cambria"/>
          <w:b/>
          <w:bCs/>
          <w:color w:val="4A343A"/>
          <w:sz w:val="27"/>
          <w:szCs w:val="27"/>
        </w:rPr>
        <w:t xml:space="preserve">2.  Our Understanding of the Requirement</w:t>
      </w:r>
    </w:p>
    <w:p>
      <w:pPr>
        <w:spacing w:after="120"/>
      </w:pPr>
      <w:r>
        <w:rPr>
          <w:rFonts w:ascii="Calibri" w:cs="Calibri" w:eastAsia="Calibri" w:hAnsi="Calibri"/>
          <w:color w:val="2E2A28"/>
          <w:sz w:val="21"/>
          <w:szCs w:val="21"/>
        </w:rPr>
        <w:t xml:space="preserve">Doft Candles operates premium home-fragrance pop-up kiosks in leading malls during the Diwali season. For the 2026 season — with the intent to continue the partnership in 2027 and 2028 — Doft will deploy compact </w:t>
      </w:r>
      <w:r>
        <w:rPr>
          <w:rFonts w:ascii="Calibri" w:cs="Calibri" w:eastAsia="Calibri" w:hAnsi="Calibri"/>
          <w:b/>
          <w:bCs/>
          <w:color w:val="2E2A28"/>
          <w:sz w:val="21"/>
          <w:szCs w:val="21"/>
        </w:rPr>
        <w:t xml:space="preserve">8 ft × 8 ft</w:t>
      </w:r>
      <w:r>
        <w:rPr>
          <w:rFonts w:ascii="Calibri" w:cs="Calibri" w:eastAsia="Calibri" w:hAnsi="Calibri"/>
          <w:color w:val="2E2A28"/>
          <w:sz w:val="21"/>
          <w:szCs w:val="21"/>
        </w:rPr>
        <w:t xml:space="preserve"> kiosks in high-footfall malls across metro and sub-metro cities, operating for </w:t>
      </w:r>
      <w:r>
        <w:rPr>
          <w:rFonts w:ascii="Calibri" w:cs="Calibri" w:eastAsia="Calibri" w:hAnsi="Calibri"/>
          <w:b/>
          <w:bCs/>
          <w:color w:val="2E2A28"/>
          <w:sz w:val="21"/>
          <w:szCs w:val="21"/>
        </w:rPr>
        <w:t xml:space="preserve">six weeks</w:t>
      </w:r>
      <w:r>
        <w:rPr>
          <w:rFonts w:ascii="Calibri" w:cs="Calibri" w:eastAsia="Calibri" w:hAnsi="Calibri"/>
          <w:color w:val="2E2A28"/>
          <w:sz w:val="21"/>
          <w:szCs w:val="21"/>
        </w:rPr>
        <w:t xml:space="preserve"> in the run-up to and through Diwali. ProMarcom will recruit, deploy and manage all on-ground operations end to end, while Doft supplies the saleable stock, kiosk design, POS/EDC machines and uniforms.</w:t>
      </w:r>
    </w:p>
    <w:p>
      <w:pPr>
        <w:spacing w:after="80" w:before="200"/>
      </w:pPr>
      <w:r>
        <w:rPr>
          <w:rFonts w:ascii="Cambria" w:cs="Cambria" w:eastAsia="Cambria" w:hAnsi="Cambria"/>
          <w:b/>
          <w:bCs/>
          <w:color w:val="9E5A45"/>
          <w:sz w:val="23"/>
          <w:szCs w:val="23"/>
        </w:rPr>
        <w:t xml:space="preserve">Engagement at a glance</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Parameter</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Engagement 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&amp; 2028 (renewed annually)</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6 weeks of live operations per city, across the Diwali season</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footprint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 ft × 8 ft (≈ 64 sq ft) — compact premium kiosk to Doft-approved design</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Back-store /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 40 sq ft secure replenishment storage (or mall-provided), per kiosk cluster</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City footprint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 + sub-metro cities (see Section 3 — Recommended City Footprint)</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Pop-ups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1–3 kiosks, subject to mall availability, footfall and Doft approval</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Staffing</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Right-sized compact-kiosk team on a two-shift roster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Doft-led 1-day product &amp; sales training, 10–21 days pre-launch, 100%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Supplied by Doft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Saleable stock · kiosk design/kit · pop-up furniture · POS/EDC · uniforms (returnable)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Owned by ProMarcom</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fabrication &amp; install · manpower · logistics · licences · daily operations · reporting</w:t>
            </w:r>
          </w:p>
        </w:tc>
      </w:tr>
    </w:tbl>
    <w:p>
      <w:pPr>
        <w:pBdr>
          <w:bottom w:val="single" w:color="C39A98" w:sz="8" w:space="4"/>
        </w:pBdr>
        <w:spacing w:after="120" w:before="300"/>
      </w:pPr>
      <w:r>
        <w:rPr>
          <w:rFonts w:ascii="Cambria" w:cs="Cambria" w:eastAsia="Cambria" w:hAnsi="Cambria"/>
          <w:b/>
          <w:bCs/>
          <w:color w:val="4A343A"/>
          <w:sz w:val="27"/>
          <w:szCs w:val="27"/>
        </w:rPr>
        <w:t xml:space="preserve">3.  Recommended City Footprint</w:t>
      </w:r>
    </w:p>
    <w:p>
      <w:pPr>
        <w:spacing w:after="120"/>
      </w:pPr>
      <w:r>
        <w:rPr>
          <w:rFonts w:ascii="Calibri" w:cs="Calibri" w:eastAsia="Calibri" w:hAnsi="Calibri"/>
          <w:color w:val="2E2A28"/>
          <w:sz w:val="21"/>
          <w:szCs w:val="21"/>
        </w:rPr>
        <w:t xml:space="preserve">We recommend anchoring the launch in India's </w:t>
      </w:r>
      <w:r>
        <w:rPr>
          <w:rFonts w:ascii="Calibri" w:cs="Calibri" w:eastAsia="Calibri" w:hAnsi="Calibri"/>
          <w:b/>
          <w:bCs/>
          <w:color w:val="2E2A28"/>
          <w:sz w:val="21"/>
          <w:szCs w:val="21"/>
        </w:rPr>
        <w:t xml:space="preserve">metro cities</w:t>
      </w:r>
      <w:r>
        <w:rPr>
          <w:rFonts w:ascii="Calibri" w:cs="Calibri" w:eastAsia="Calibri" w:hAnsi="Calibri"/>
          <w:color w:val="2E2A28"/>
          <w:sz w:val="21"/>
          <w:szCs w:val="21"/>
        </w:rPr>
        <w:t xml:space="preserve"> — where premium mall footfall and gifting spend peak during Diwali — and extending into high-potential </w:t>
      </w:r>
      <w:r>
        <w:rPr>
          <w:rFonts w:ascii="Calibri" w:cs="Calibri" w:eastAsia="Calibri" w:hAnsi="Calibri"/>
          <w:b/>
          <w:bCs/>
          <w:color w:val="2E2A28"/>
          <w:sz w:val="21"/>
          <w:szCs w:val="21"/>
        </w:rPr>
        <w:t xml:space="preserve">sub-metro cities</w:t>
      </w:r>
      <w:r>
        <w:rPr>
          <w:rFonts w:ascii="Calibri" w:cs="Calibri" w:eastAsia="Calibri" w:hAnsi="Calibri"/>
          <w:color w:val="2E2A28"/>
          <w:sz w:val="21"/>
          <w:szCs w:val="21"/>
        </w:rPr>
        <w:t xml:space="preserve"> that have matured into strong premium-retail markets. A phased approach lets Doft establish the format in the metros first, then scale into sub-metros within the same season or in 2027–28.</w:t>
      </w:r>
    </w:p>
    <w:p>
      <w:pPr>
        <w:spacing w:after="80" w:before="200"/>
      </w:pPr>
      <w:r>
        <w:rPr>
          <w:rFonts w:ascii="Cambria" w:cs="Cambria" w:eastAsia="Cambria" w:hAnsi="Cambria"/>
          <w:b/>
          <w:bCs/>
          <w:color w:val="9E5A45"/>
          <w:sz w:val="23"/>
          <w:szCs w:val="23"/>
        </w:rPr>
        <w:t xml:space="preserve">Phase 1 — Metro cities (priority launch)</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Select Citywalk, DLF Promenade/Emporio, Ambience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&amp;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disposable income;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strong home-décor demand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Established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Diwali/festive gifting stronghold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Phase 2 — Sub-metro cities (high-potential expansion)</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&amp; wedding/festive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per-capita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Emerging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consumption</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High-income, gifting-oriented</w:t>
            </w:r>
          </w:p>
        </w:tc>
      </w:tr>
    </w:tbl>
    <w:p>
      <w:pPr>
        <w:spacing w:after="120"/>
      </w:pPr>
      <w:r>
        <w:rPr>
          <w:rFonts w:ascii="Calibri" w:cs="Calibri" w:eastAsia="Calibri" w:hAnsi="Calibri"/>
          <w:i/>
          <w:iCs/>
          <w:color w:val="6B625C"/>
          <w:sz w:val="19"/>
          <w:szCs w:val="19"/>
        </w:rPr>
        <w:t xml:space="preserve">Mall names are indicative; final selection will be confirmed against live availability, footfall data, category fit and licence economics. We recommend confirming the metro list first to lock premium mall slots early, as Diwali inventory books out quickly.</w:t>
      </w:r>
    </w:p>
    <w:p>
      <w:pPr>
        <w:pBdr>
          <w:bottom w:val="single" w:color="C39A98" w:sz="8" w:space="4"/>
        </w:pBdr>
        <w:spacing w:after="120" w:before="300"/>
      </w:pPr>
      <w:r>
        <w:rPr>
          <w:rFonts w:ascii="Cambria" w:cs="Cambria" w:eastAsia="Cambria" w:hAnsi="Cambria"/>
          <w:b/>
          <w:bCs/>
          <w:color w:val="4A343A"/>
          <w:sz w:val="27"/>
          <w:szCs w:val="27"/>
        </w:rPr>
        <w:t xml:space="preserve">4.  Key Deliverables (ProMarcom Scope)</w:t>
      </w:r>
    </w:p>
    <w:p>
      <w:pPr>
        <w:spacing w:after="120"/>
      </w:pPr>
      <w:r>
        <w:rPr>
          <w:rFonts w:ascii="Calibri" w:cs="Calibri" w:eastAsia="Calibri" w:hAnsi="Calibri"/>
          <w:color w:val="2E2A28"/>
          <w:sz w:val="21"/>
          <w:szCs w:val="21"/>
        </w:rPr>
        <w:t xml:space="preserve">ProMarcom will own the following workstreams end to end. Each is delivered to Doft's brand standards and mall compliance requirements.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Key deliverables &amp; outputs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fabrication &amp; installation</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On-site fabrication &amp; installation of the 8×8 kiosk to Doft-approved design</w:t>
            </w:r>
          </w:p>
          <w:p>
            <w:pPr>
              <w:pStyle w:val="ListParagraph"/>
              <w:numPr>
                <w:ilvl w:val="0"/>
                <w:numId w:val="2"/>
              </w:numPr>
              <w:spacing w:after="30"/>
            </w:pPr>
            <w:r>
              <w:rPr>
                <w:rFonts w:ascii="Calibri" w:cs="Calibri" w:eastAsia="Calibri" w:hAnsi="Calibri"/>
                <w:color w:val="2E2A28"/>
                <w:sz w:val="18"/>
                <w:szCs w:val="18"/>
              </w:rPr>
              <w:t xml:space="preserve">Transport, setup, maintenance, dismantling &amp; return of fixtures</w:t>
            </w:r>
          </w:p>
          <w:p>
            <w:pPr>
              <w:pStyle w:val="ListParagraph"/>
              <w:numPr>
                <w:ilvl w:val="0"/>
                <w:numId w:val="2"/>
              </w:numPr>
              <w:spacing w:after="30"/>
            </w:pPr>
            <w:r>
              <w:rPr>
                <w:rFonts w:ascii="Calibri" w:cs="Calibri" w:eastAsia="Calibri" w:hAnsi="Calibri"/>
                <w:color w:val="2E2A28"/>
                <w:sz w:val="18"/>
                <w:szCs w:val="18"/>
              </w:rPr>
              <w:t xml:space="preserve">3-day buffer before go-live to absorb any fabrication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Liaison with mall management across the engagement</w:t>
            </w:r>
          </w:p>
          <w:p>
            <w:pPr>
              <w:pStyle w:val="ListParagraph"/>
              <w:numPr>
                <w:ilvl w:val="0"/>
                <w:numId w:val="2"/>
              </w:numPr>
              <w:spacing w:after="30"/>
            </w:pPr>
            <w:r>
              <w:rPr>
                <w:rFonts w:ascii="Calibri" w:cs="Calibri" w:eastAsia="Calibri" w:hAnsi="Calibri"/>
                <w:color w:val="2E2A28"/>
                <w:sz w:val="18"/>
                <w:szCs w:val="18"/>
              </w:rPr>
              <w:t xml:space="preserve">All permissions, licences, documentation &amp;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&amp;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stock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Collection &amp; transport of stock from Doft's Ghaziabad warehouse</w:t>
            </w:r>
          </w:p>
          <w:p>
            <w:pPr>
              <w:pStyle w:val="ListParagraph"/>
              <w:numPr>
                <w:ilvl w:val="0"/>
                <w:numId w:val="2"/>
              </w:numPr>
              <w:spacing w:after="30"/>
            </w:pPr>
            <w:r>
              <w:rPr>
                <w:rFonts w:ascii="Calibri" w:cs="Calibri" w:eastAsia="Calibri" w:hAnsi="Calibri"/>
                <w:color w:val="2E2A28"/>
                <w:sz w:val="18"/>
                <w:szCs w:val="18"/>
              </w:rPr>
              <w:t xml:space="preserve">Timely replenishment via local secure storage; reorder-level triggers</w:t>
            </w:r>
          </w:p>
          <w:p>
            <w:pPr>
              <w:pStyle w:val="ListParagraph"/>
              <w:numPr>
                <w:ilvl w:val="0"/>
                <w:numId w:val="2"/>
              </w:numPr>
              <w:spacing w:after="30"/>
            </w:pPr>
            <w:r>
              <w:rPr>
                <w:rFonts w:ascii="Calibri" w:cs="Calibri" w:eastAsia="Calibri" w:hAnsi="Calibri"/>
                <w:color w:val="2E2A28"/>
                <w:sz w:val="18"/>
                <w:szCs w:val="18"/>
              </w:rPr>
              <w:t xml:space="preserve">Safe handling, inventory control &amp;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verification, deployment &amp; attendance management</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deployed staff</w:t>
            </w:r>
          </w:p>
          <w:p>
            <w:pPr>
              <w:pStyle w:val="ListParagraph"/>
              <w:numPr>
                <w:ilvl w:val="0"/>
                <w:numId w:val="2"/>
              </w:numPr>
              <w:spacing w:after="30"/>
            </w:pPr>
            <w:r>
              <w:rPr>
                <w:rFonts w:ascii="Calibri" w:cs="Calibri" w:eastAsia="Calibri" w:hAnsi="Calibri"/>
                <w:color w:val="2E2A28"/>
                <w:sz w:val="18"/>
                <w:szCs w:val="18"/>
              </w:rPr>
              <w:t xml:space="preserve">Immediate, no-cost replacement of any absent or resigned staff</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Coordinate 100% attendance at Doft's 1-day product &amp; sales training</w:t>
            </w:r>
          </w:p>
          <w:p>
            <w:pPr>
              <w:pStyle w:val="ListParagraph"/>
              <w:numPr>
                <w:ilvl w:val="0"/>
                <w:numId w:val="2"/>
              </w:numPr>
              <w:spacing w:after="30"/>
            </w:pPr>
            <w:r>
              <w:rPr>
                <w:rFonts w:ascii="Calibri" w:cs="Calibri" w:eastAsia="Calibri" w:hAnsi="Calibri"/>
                <w:color w:val="2E2A28"/>
                <w:sz w:val="18"/>
                <w:szCs w:val="18"/>
              </w:rPr>
              <w:t xml:space="preserve">Keep trained staff available throughout; arrange replacement training</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opening &amp; closing; sales &amp; customer service</w:t>
            </w:r>
          </w:p>
          <w:p>
            <w:pPr>
              <w:pStyle w:val="ListParagraph"/>
              <w:numPr>
                <w:ilvl w:val="0"/>
                <w:numId w:val="2"/>
              </w:numPr>
              <w:spacing w:after="30"/>
            </w:pPr>
            <w:r>
              <w:rPr>
                <w:rFonts w:ascii="Calibri" w:cs="Calibri" w:eastAsia="Calibri" w:hAnsi="Calibri"/>
                <w:color w:val="2E2A28"/>
                <w:sz w:val="18"/>
                <w:szCs w:val="18"/>
              </w:rPr>
              <w:t xml:space="preserve">Cash handling &amp; POS/EDC management; visual merchandising &amp; cleanliness</w:t>
            </w:r>
          </w:p>
          <w:p>
            <w:pPr>
              <w:pStyle w:val="ListParagraph"/>
              <w:numPr>
                <w:ilvl w:val="0"/>
                <w:numId w:val="2"/>
              </w:numPr>
              <w:spacing w:after="30"/>
            </w:pPr>
            <w:r>
              <w:rPr>
                <w:rFonts w:ascii="Calibri" w:cs="Calibri" w:eastAsia="Calibri" w:hAnsi="Calibri"/>
                <w:color w:val="2E2A28"/>
                <w:sz w:val="18"/>
                <w:szCs w:val="18"/>
              </w:rPr>
              <w:t xml:space="preserve">Inventory reconciliation and compliance with mall &amp; Doft brand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reports: sales, footfall, inventory, replenishment, attendance</w:t>
            </w:r>
          </w:p>
          <w:p>
            <w:pPr>
              <w:pStyle w:val="ListParagraph"/>
              <w:numPr>
                <w:ilvl w:val="0"/>
                <w:numId w:val="2"/>
              </w:numPr>
              <w:spacing w:after="30"/>
            </w:pPr>
            <w:r>
              <w:rPr>
                <w:rFonts w:ascii="Calibri" w:cs="Calibri" w:eastAsia="Calibri" w:hAnsi="Calibri"/>
                <w:color w:val="2E2A28"/>
                <w:sz w:val="18"/>
                <w:szCs w:val="18"/>
              </w:rPr>
              <w:t xml:space="preserve">Customer feedback and operational-issue logs</w:t>
            </w:r>
          </w:p>
          <w:p>
            <w:pPr>
              <w:pStyle w:val="ListParagraph"/>
              <w:numPr>
                <w:ilvl w:val="0"/>
                <w:numId w:val="2"/>
              </w:numPr>
              <w:spacing w:after="30"/>
            </w:pPr>
            <w:r>
              <w:rPr>
                <w:rFonts w:ascii="Calibri" w:cs="Calibri" w:eastAsia="Calibri" w:hAnsi="Calibri"/>
                <w:color w:val="2E2A28"/>
                <w:sz w:val="18"/>
                <w:szCs w:val="18"/>
              </w:rPr>
              <w:t xml:space="preserve">Weekly city reviews and an end-of-season reconciliation</w:t>
            </w:r>
          </w:p>
        </w:tc>
      </w:tr>
    </w:tbl>
    <w:p>
      <w:pPr>
        <w:pBdr>
          <w:bottom w:val="single" w:color="C39A98" w:sz="8" w:space="4"/>
        </w:pBdr>
        <w:spacing w:after="120" w:before="300"/>
      </w:pPr>
      <w:r>
        <w:rPr>
          <w:rFonts w:ascii="Cambria" w:cs="Cambria" w:eastAsia="Cambria" w:hAnsi="Cambria"/>
          <w:b/>
          <w:bCs/>
          <w:color w:val="4A343A"/>
          <w:sz w:val="27"/>
          <w:szCs w:val="27"/>
        </w:rPr>
        <w:t xml:space="preserve">5.  Recommended Staffing (compact 8×8 kiosk)</w:t>
      </w:r>
    </w:p>
    <w:p>
      <w:pPr>
        <w:spacing w:after="120"/>
      </w:pPr>
      <w:r>
        <w:rPr>
          <w:rFonts w:ascii="Calibri" w:cs="Calibri" w:eastAsia="Calibri" w:hAnsi="Calibri"/>
          <w:color w:val="2E2A28"/>
          <w:sz w:val="21"/>
          <w:szCs w:val="21"/>
        </w:rPr>
        <w:t xml:space="preserve">The original brief specified 12 staff for a ~300 sq ft kiosk. As an 8 ft × 8 ft kiosk (≈ 64 sq ft) accommodates only 2–3 people on the floor at a time, we recommend a </w:t>
      </w:r>
      <w:r>
        <w:rPr>
          <w:rFonts w:ascii="Calibri" w:cs="Calibri" w:eastAsia="Calibri" w:hAnsi="Calibri"/>
          <w:b/>
          <w:bCs/>
          <w:color w:val="2E2A28"/>
          <w:sz w:val="21"/>
          <w:szCs w:val="21"/>
        </w:rPr>
        <w:t xml:space="preserve">right-sized team on a two-shift roster</w:t>
      </w:r>
      <w:r>
        <w:rPr>
          <w:rFonts w:ascii="Calibri" w:cs="Calibri" w:eastAsia="Calibri" w:hAnsi="Calibri"/>
          <w:color w:val="2E2A28"/>
          <w:sz w:val="21"/>
          <w:szCs w:val="21"/>
        </w:rPr>
        <w:t xml:space="preserve"> to cover full mall trading hours across the six weeks, with a trained bench for zero-gap cover. Final numbers are easily scaled per kiosk and city.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Per kiosk</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4</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 per shift × 2 shifts; female, 22–25, fluent English, retail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Cashier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POS/EDC handling; can flex as a sales executive at peak</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 Leader / Manager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Permanent ProMarcom employee; owns daily operations</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 / Support</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stock handling &amp; replenishment runs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Driver (shared)</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per city</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Shared across a city's kiosks for stock movement</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Core team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6–7</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~15% trained bench per city for immediate replacements</w:t>
            </w:r>
          </w:p>
        </w:tc>
      </w:tr>
    </w:tbl>
    <w:p>
      <w:pPr>
        <w:pBdr>
          <w:bottom w:val="single" w:color="C39A98" w:sz="8" w:space="4"/>
        </w:pBdr>
        <w:spacing w:after="120" w:before="300"/>
      </w:pPr>
      <w:r>
        <w:rPr>
          <w:rFonts w:ascii="Cambria" w:cs="Cambria" w:eastAsia="Cambria" w:hAnsi="Cambria"/>
          <w:b/>
          <w:bCs/>
          <w:color w:val="4A343A"/>
          <w:sz w:val="27"/>
          <w:szCs w:val="27"/>
        </w:rPr>
        <w:t xml:space="preserve">6.  Reporting &amp; Governance</w:t>
      </w:r>
    </w:p>
    <w:p>
      <w:pPr>
        <w:spacing w:after="120"/>
      </w:pPr>
      <w:r>
        <w:rPr>
          <w:rFonts w:ascii="Calibri" w:cs="Calibri" w:eastAsia="Calibri" w:hAnsi="Calibri"/>
          <w:color w:val="2E2A28"/>
          <w:sz w:val="21"/>
          <w:szCs w:val="21"/>
        </w:rPr>
        <w:t xml:space="preserve">Doft receives a standard daily report per kiosk, consolidated by city:</w:t>
      </w:r>
    </w:p>
    <w:p>
      <w:pPr>
        <w:pStyle w:val="ListParagraph"/>
        <w:numPr>
          <w:ilvl w:val="0"/>
          <w:numId w:val="2"/>
        </w:numPr>
        <w:spacing w:after="60"/>
      </w:pPr>
      <w:r>
        <w:rPr>
          <w:rFonts w:ascii="Calibri" w:cs="Calibri" w:eastAsia="Calibri" w:hAnsi="Calibri"/>
          <w:color w:val="2E2A28"/>
          <w:sz w:val="21"/>
          <w:szCs w:val="21"/>
        </w:rPr>
        <w:t xml:space="preserve">Sales — units, gross, discounts, net, bills, average bill value</w:t>
      </w:r>
    </w:p>
    <w:p>
      <w:pPr>
        <w:pStyle w:val="ListParagraph"/>
        <w:numPr>
          <w:ilvl w:val="0"/>
          <w:numId w:val="2"/>
        </w:numPr>
        <w:spacing w:after="60"/>
      </w:pPr>
      <w:r>
        <w:rPr>
          <w:rFonts w:ascii="Calibri" w:cs="Calibri" w:eastAsia="Calibri" w:hAnsi="Calibri"/>
          <w:color w:val="2E2A28"/>
          <w:sz w:val="21"/>
          <w:szCs w:val="21"/>
        </w:rPr>
        <w:t xml:space="preserve">Footfall &amp; conversion — walk-ins, engaged, bills, conversion %</w:t>
      </w:r>
    </w:p>
    <w:p>
      <w:pPr>
        <w:pStyle w:val="ListParagraph"/>
        <w:numPr>
          <w:ilvl w:val="0"/>
          <w:numId w:val="2"/>
        </w:numPr>
        <w:spacing w:after="60"/>
      </w:pPr>
      <w:r>
        <w:rPr>
          <w:rFonts w:ascii="Calibri" w:cs="Calibri" w:eastAsia="Calibri" w:hAnsi="Calibri"/>
          <w:color w:val="2E2A28"/>
          <w:sz w:val="21"/>
          <w:szCs w:val="21"/>
        </w:rPr>
        <w:t xml:space="preserve">Inventory &amp; replenishment — opening, received, sold, closing, reorder flags</w:t>
      </w:r>
    </w:p>
    <w:p>
      <w:pPr>
        <w:pStyle w:val="ListParagraph"/>
        <w:numPr>
          <w:ilvl w:val="0"/>
          <w:numId w:val="2"/>
        </w:numPr>
        <w:spacing w:after="60"/>
      </w:pPr>
      <w:r>
        <w:rPr>
          <w:rFonts w:ascii="Calibri" w:cs="Calibri" w:eastAsia="Calibri" w:hAnsi="Calibri"/>
          <w:color w:val="2E2A28"/>
          <w:sz w:val="21"/>
          <w:szCs w:val="21"/>
        </w:rPr>
        <w:t xml:space="preserve">Staff attendance — present/absent and % attendance</w:t>
      </w:r>
    </w:p>
    <w:p>
      <w:pPr>
        <w:pStyle w:val="ListParagraph"/>
        <w:numPr>
          <w:ilvl w:val="0"/>
          <w:numId w:val="2"/>
        </w:numPr>
        <w:spacing w:after="60"/>
      </w:pPr>
      <w:r>
        <w:rPr>
          <w:rFonts w:ascii="Calibri" w:cs="Calibri" w:eastAsia="Calibri" w:hAnsi="Calibri"/>
          <w:color w:val="2E2A28"/>
          <w:sz w:val="21"/>
          <w:szCs w:val="21"/>
        </w:rPr>
        <w:t xml:space="preserve">Customer feedback and operational issues</w:t>
      </w:r>
    </w:p>
    <w:p>
      <w:pPr>
        <w:spacing w:after="120"/>
      </w:pPr>
      <w:r>
        <w:rPr>
          <w:rFonts w:ascii="Calibri" w:cs="Calibri" w:eastAsia="Calibri" w:hAnsi="Calibri"/>
          <w:b/>
          <w:bCs/>
          <w:color w:val="2E2A28"/>
          <w:sz w:val="21"/>
          <w:szCs w:val="21"/>
        </w:rPr>
        <w:t xml:space="preserve">Cadence: </w:t>
      </w:r>
      <w:r>
        <w:rPr>
          <w:rFonts w:ascii="Calibri" w:cs="Calibri" w:eastAsia="Calibri" w:hAnsi="Calibri"/>
          <w:color w:val="2E2A28"/>
          <w:sz w:val="21"/>
          <w:szCs w:val="21"/>
        </w:rPr>
        <w:t xml:space="preserve">daily written report; a weekly review call per city; and an end-of-season reconciliation covering sales, stock returns, staffing and learnings for the next season. A live operations workbook (staffing, budget, timeline and all trackers) supports the programme.</w:t>
      </w:r>
    </w:p>
    <w:p>
      <w:pPr>
        <w:pBdr>
          <w:bottom w:val="single" w:color="C39A98" w:sz="8" w:space="4"/>
        </w:pBdr>
        <w:spacing w:after="120" w:before="300"/>
      </w:pPr>
      <w:r>
        <w:rPr>
          <w:rFonts w:ascii="Cambria" w:cs="Cambria" w:eastAsia="Cambria" w:hAnsi="Cambria"/>
          <w:b/>
          <w:bCs/>
          <w:color w:val="4A343A"/>
          <w:sz w:val="27"/>
          <w:szCs w:val="27"/>
        </w:rPr>
        <w:t xml:space="preserve">7.  Service Commitments</w:t>
      </w:r>
    </w:p>
    <w:p>
      <w:pPr>
        <w:pStyle w:val="ListParagraph"/>
        <w:numPr>
          <w:ilvl w:val="0"/>
          <w:numId w:val="2"/>
        </w:numPr>
        <w:spacing w:after="60"/>
      </w:pPr>
      <w:r>
        <w:rPr>
          <w:rFonts w:ascii="Calibri" w:cs="Calibri" w:eastAsia="Calibri" w:hAnsi="Calibri"/>
          <w:color w:val="2E2A28"/>
          <w:sz w:val="21"/>
          <w:szCs w:val="21"/>
        </w:rPr>
        <w:t xml:space="preserve">100% attendance at Doft's product &amp; sales training, with equally-trained replacements at all times.</w:t>
      </w:r>
    </w:p>
    <w:p>
      <w:pPr>
        <w:pStyle w:val="ListParagraph"/>
        <w:numPr>
          <w:ilvl w:val="0"/>
          <w:numId w:val="2"/>
        </w:numPr>
        <w:spacing w:after="60"/>
      </w:pPr>
      <w:r>
        <w:rPr>
          <w:rFonts w:ascii="Calibri" w:cs="Calibri" w:eastAsia="Calibri" w:hAnsi="Calibri"/>
          <w:color w:val="2E2A28"/>
          <w:sz w:val="21"/>
          <w:szCs w:val="21"/>
        </w:rPr>
        <w:t xml:space="preserve">Immediate, same-day replacement of any absent or resigned staff — at no additional cost to Doft.</w:t>
      </w:r>
    </w:p>
    <w:p>
      <w:pPr>
        <w:pStyle w:val="ListParagraph"/>
        <w:numPr>
          <w:ilvl w:val="0"/>
          <w:numId w:val="2"/>
        </w:numPr>
        <w:spacing w:after="60"/>
      </w:pPr>
      <w:r>
        <w:rPr>
          <w:rFonts w:ascii="Calibri" w:cs="Calibri" w:eastAsia="Calibri" w:hAnsi="Calibri"/>
          <w:color w:val="2E2A28"/>
          <w:sz w:val="21"/>
          <w:szCs w:val="21"/>
        </w:rPr>
        <w:t xml:space="preserve">Uniforms kept washed, ironed and well-maintained throughout,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sign-off completed before every go-live (licences, GST/e-invoicing, PF/ESIC, insurance, fire &amp; electrical, staff BGV).</w:t>
      </w:r>
    </w:p>
    <w:p>
      <w:pPr>
        <w:pStyle w:val="ListParagraph"/>
        <w:numPr>
          <w:ilvl w:val="0"/>
          <w:numId w:val="2"/>
        </w:numPr>
        <w:spacing w:after="60"/>
      </w:pPr>
      <w:r>
        <w:rPr>
          <w:rFonts w:ascii="Calibri" w:cs="Calibri" w:eastAsia="Calibri" w:hAnsi="Calibri"/>
          <w:color w:val="2E2A28"/>
          <w:sz w:val="21"/>
          <w:szCs w:val="21"/>
        </w:rPr>
        <w:t xml:space="preserve">Consistent service quality and brand standards across all cities operating simultaneously.</w:t>
      </w:r>
    </w:p>
    <w:p>
      <w:pPr>
        <w:pBdr>
          <w:bottom w:val="single" w:color="C39A98" w:sz="8" w:space="4"/>
        </w:pBdr>
        <w:spacing w:after="120" w:before="300"/>
      </w:pPr>
      <w:r>
        <w:rPr>
          <w:rFonts w:ascii="Cambria" w:cs="Cambria" w:eastAsia="Cambria" w:hAnsi="Cambria"/>
          <w:b/>
          <w:bCs/>
          <w:color w:val="4A343A"/>
          <w:sz w:val="27"/>
          <w:szCs w:val="27"/>
        </w:rPr>
        <w:t xml:space="preserve">8.  Items Supplied by Doft &amp; Assumptions</w:t>
      </w:r>
    </w:p>
    <w:p>
      <w:pPr>
        <w:pStyle w:val="ListParagraph"/>
        <w:numPr>
          <w:ilvl w:val="0"/>
          <w:numId w:val="2"/>
        </w:numPr>
        <w:spacing w:after="60"/>
      </w:pPr>
      <w:r>
        <w:rPr>
          <w:rFonts w:ascii="Calibri" w:cs="Calibri" w:eastAsia="Calibri" w:hAnsi="Calibri"/>
          <w:color w:val="2E2A28"/>
          <w:sz w:val="21"/>
          <w:szCs w:val="21"/>
        </w:rPr>
        <w:t xml:space="preserve">Doft supplies: saleable stock, the kiosk design/kit, pop-up furniture (unless otherwise agreed), POS/EDC machines, and returnable uniform shirts.</w:t>
      </w:r>
    </w:p>
    <w:p>
      <w:pPr>
        <w:pStyle w:val="ListParagraph"/>
        <w:numPr>
          <w:ilvl w:val="0"/>
          <w:numId w:val="2"/>
        </w:numPr>
        <w:spacing w:after="60"/>
      </w:pPr>
      <w:r>
        <w:rPr>
          <w:rFonts w:ascii="Calibri" w:cs="Calibri" w:eastAsia="Calibri" w:hAnsi="Calibri"/>
          <w:color w:val="2E2A28"/>
          <w:sz w:val="21"/>
          <w:szCs w:val="21"/>
        </w:rPr>
        <w:t xml:space="preserve">Stock is collected from Doft's Ghaziabad warehouse; insurance-in-transit and safe handling are managed by ProMarcom.</w:t>
      </w:r>
    </w:p>
    <w:p>
      <w:pPr>
        <w:pStyle w:val="ListParagraph"/>
        <w:numPr>
          <w:ilvl w:val="0"/>
          <w:numId w:val="2"/>
        </w:numPr>
        <w:spacing w:after="60"/>
      </w:pPr>
      <w:r>
        <w:rPr>
          <w:rFonts w:ascii="Calibri" w:cs="Calibri" w:eastAsia="Calibri" w:hAnsi="Calibri"/>
          <w:color w:val="2E2A28"/>
          <w:sz w:val="21"/>
          <w:szCs w:val="21"/>
        </w:rPr>
        <w:t xml:space="preserve">Mall licence / space fees, if borne by ProMarcom, are treated as a pass-through / reimbursable line unless agreed otherwise — to be confirmed per mall.</w:t>
      </w:r>
    </w:p>
    <w:p>
      <w:pPr>
        <w:pStyle w:val="ListParagraph"/>
        <w:numPr>
          <w:ilvl w:val="0"/>
          <w:numId w:val="2"/>
        </w:numPr>
        <w:spacing w:after="60"/>
      </w:pPr>
      <w:r>
        <w:rPr>
          <w:rFonts w:ascii="Calibri" w:cs="Calibri" w:eastAsia="Calibri" w:hAnsi="Calibri"/>
          <w:color w:val="2E2A28"/>
          <w:sz w:val="21"/>
          <w:szCs w:val="21"/>
        </w:rPr>
        <w:t xml:space="preserve">Final city and mall selection, kiosk count and exact go-live dates are confirmed jointly with Doft ahead of each season.</w:t>
      </w:r>
    </w:p>
    <w:p>
      <w:pPr>
        <w:pBdr>
          <w:bottom w:val="single" w:color="C39A98" w:sz="8" w:space="4"/>
        </w:pBdr>
        <w:spacing w:after="120" w:before="300"/>
      </w:pPr>
      <w:r>
        <w:rPr>
          <w:rFonts w:ascii="Cambria" w:cs="Cambria" w:eastAsia="Cambria" w:hAnsi="Cambria"/>
          <w:b/>
          <w:bCs/>
          <w:color w:val="4A343A"/>
          <w:sz w:val="27"/>
          <w:szCs w:val="27"/>
        </w:rPr>
        <w:t xml:space="preserve">9.  Next Steps</w:t>
      </w:r>
    </w:p>
    <w:p>
      <w:pPr>
        <w:pStyle w:val="ListParagraph"/>
        <w:numPr>
          <w:ilvl w:val="0"/>
          <w:numId w:val="3"/>
        </w:numPr>
        <w:spacing w:after="60"/>
      </w:pPr>
      <w:r>
        <w:rPr>
          <w:rFonts w:ascii="Calibri" w:cs="Calibri" w:eastAsia="Calibri" w:hAnsi="Calibri"/>
          <w:color w:val="2E2A28"/>
          <w:sz w:val="21"/>
          <w:szCs w:val="21"/>
        </w:rPr>
        <w:t xml:space="preserve">Doft to confirm the Phase-1 metro city list so premium mall slots can be locked early.</w:t>
      </w:r>
    </w:p>
    <w:p>
      <w:pPr>
        <w:pStyle w:val="ListParagraph"/>
        <w:numPr>
          <w:ilvl w:val="0"/>
          <w:numId w:val="3"/>
        </w:numPr>
        <w:spacing w:after="60"/>
      </w:pPr>
      <w:r>
        <w:rPr>
          <w:rFonts w:ascii="Calibri" w:cs="Calibri" w:eastAsia="Calibri" w:hAnsi="Calibri"/>
          <w:color w:val="2E2A28"/>
          <w:sz w:val="21"/>
          <w:szCs w:val="21"/>
        </w:rPr>
        <w:t xml:space="preserve">ProMarcom to shortlist specific malls with availability, footfall and licence economics.</w:t>
      </w:r>
    </w:p>
    <w:p>
      <w:pPr>
        <w:pStyle w:val="ListParagraph"/>
        <w:numPr>
          <w:ilvl w:val="0"/>
          <w:numId w:val="3"/>
        </w:numPr>
        <w:spacing w:after="60"/>
      </w:pPr>
      <w:r>
        <w:rPr>
          <w:rFonts w:ascii="Calibri" w:cs="Calibri" w:eastAsia="Calibri" w:hAnsi="Calibri"/>
          <w:color w:val="2E2A28"/>
          <w:sz w:val="21"/>
          <w:szCs w:val="21"/>
        </w:rPr>
        <w:t xml:space="preserve">Align on kiosk count per city,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Finalise commercials under a separate proposal and issue the engagement agreement.</w:t>
      </w:r>
    </w:p>
    <w:p>
      <w:pPr>
        <w:spacing w:before="240"/>
      </w:pPr>
      <w:r>
        <w:rPr>
          <w:rFonts w:ascii="Calibri" w:cs="Calibri" w:eastAsia="Calibri" w:hAnsi="Calibri"/>
          <w:i/>
          <w:iCs/>
          <w:color w:val="6B625C"/>
          <w:sz w:val="17"/>
          <w:szCs w:val="17"/>
        </w:rPr>
        <w:t xml:space="preserve">Prepared by ProMarcom Inc. (EventsActive) as a planning response to the Doft Candles Diwali pop-up requirement. City and mall suggestions are indicative and subject to confirmation.</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070b4952c102da4ec689c64824b76ed26de07d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2026-07-30T10:52:21.197Z</dcterms:created>
  <dcterms:modified xsi:type="dcterms:W3CDTF">2026-07-30T10:52:21.200Z</dcterms:modified>
</cp:coreProperties>
</file>

<file path=docProps/custom.xml><?xml version="1.0" encoding="utf-8"?>
<Properties xmlns="http://schemas.openxmlformats.org/officeDocument/2006/custom-properties" xmlns:vt="http://schemas.openxmlformats.org/officeDocument/2006/docPropsVTypes"/>
</file>