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4A343A"/>
          <w:spacing w:val="40"/>
          <w:sz w:val="40"/>
          <w:szCs w:val="40"/>
        </w:rPr>
        <w:t xml:space="preserve">DOFT CANDLES</w:t>
      </w:r>
    </w:p>
    <w:p>
      <w:pPr>
        <w:spacing w:after="120"/>
      </w:pPr>
      <w:r>
        <w:rPr>
          <w:rFonts w:ascii="Cambria" w:cs="Cambria" w:eastAsia="Cambria" w:hAnsi="Cambria"/>
          <w:color w:val="9E5A45"/>
          <w:sz w:val="26"/>
          <w:szCs w:val="26"/>
        </w:rPr>
        <w:t xml:space="preserve">Diwali Pop-Up Retail Operations</w:t>
      </w:r>
    </w:p>
    <w:p>
      <w:pPr>
        <w:spacing w:after="40"/>
      </w:pPr>
      <w:r>
        <w:rPr>
          <w:rFonts w:ascii="Calibri" w:cs="Calibri" w:eastAsia="Calibri" w:hAnsi="Calibri"/>
          <w:b/>
          <w:bCs/>
          <w:color w:val="2E2A28"/>
          <w:sz w:val="24"/>
          <w:szCs w:val="24"/>
        </w:rPr>
        <w:t xml:space="preserve">Understanding &amp; Key Deliverables</w:t>
      </w:r>
    </w:p>
    <w:p>
      <w:pPr>
        <w:spacing w:after="40"/>
      </w:pPr>
      <w:r>
        <w:rPr>
          <w:rFonts w:ascii="Calibri" w:cs="Calibri" w:eastAsia="Calibri" w:hAnsi="Calibri"/>
          <w:color w:val="6B625C"/>
          <w:sz w:val="21"/>
          <w:szCs w:val="21"/>
        </w:rPr>
        <w:t xml:space="preserve">Prepared by ProMarcom Inc. for Doft Candles</w:t>
      </w:r>
      <w:r>
        <w:rPr>
          <w:rFonts w:ascii="Calibri" w:cs="Calibri" w:eastAsia="Calibri" w:hAnsi="Calibri"/>
          <w:color w:val="6B625C"/>
          <w:sz w:val="21"/>
          <w:szCs w:val="21"/>
        </w:rPr>
        <w:t xml:space="preserve">      |      Diwali Seasons 2026, 2027 and 2028</w:t>
      </w:r>
    </w:p>
    <w:p>
      <w:pPr>
        <w:pBdr>
          <w:bottom w:val="single" w:color="9C7A2E" w:sz="12" w:space="6"/>
        </w:pBdr>
        <w:spacing w:after="200"/>
      </w:pPr>
      <w:r>
        <w:rPr>
          <w:rFonts w:ascii="Calibri" w:cs="Calibri" w:eastAsia="Calibri" w:hAnsi="Calibri"/>
          <w:i/>
          <w:iCs/>
          <w:color w:val="6B625C"/>
          <w:sz w:val="18"/>
          <w:szCs w:val="18"/>
        </w:rPr>
        <w:t xml:space="preserve">Date: 30 July 2026      |      For your review</w:t>
      </w:r>
    </w:p>
    <w:p>
      <w:pPr>
        <w:pBdr>
          <w:bottom w:val="single" w:color="C39A98" w:sz="8" w:space="4"/>
        </w:pBdr>
        <w:spacing w:after="120" w:before="300"/>
      </w:pPr>
      <w:r>
        <w:rPr>
          <w:rFonts w:ascii="Cambria" w:cs="Cambria" w:eastAsia="Cambria" w:hAnsi="Cambria"/>
          <w:b/>
          <w:bCs/>
          <w:color w:val="4A343A"/>
          <w:sz w:val="27"/>
          <w:szCs w:val="27"/>
        </w:rPr>
        <w:t xml:space="preserve">1.  Purpose of this Note</w:t>
      </w:r>
    </w:p>
    <w:p>
      <w:pPr>
        <w:spacing w:after="120"/>
      </w:pPr>
      <w:r>
        <w:rPr>
          <w:rFonts w:ascii="Calibri" w:cs="Calibri" w:eastAsia="Calibri" w:hAnsi="Calibri"/>
          <w:color w:val="2E2A28"/>
          <w:sz w:val="21"/>
          <w:szCs w:val="21"/>
        </w:rPr>
        <w:t xml:space="preserve">This note sets out how we understand the Diwali pop-up requirement and what we will deliver as your operations partner. It is based on the parameters we agreed with your team: a compact 8x8 ft kiosk, a six-week run, and a presence across the metros and sub-metros. It also carries our suggested city list. Commercials are covered in a separate proposal.</w:t>
      </w:r>
    </w:p>
    <w:p>
      <w:pPr>
        <w:pBdr>
          <w:bottom w:val="single" w:color="C39A98" w:sz="8" w:space="4"/>
        </w:pBdr>
        <w:spacing w:after="120" w:before="300"/>
      </w:pPr>
      <w:r>
        <w:rPr>
          <w:rFonts w:ascii="Cambria" w:cs="Cambria" w:eastAsia="Cambria" w:hAnsi="Cambria"/>
          <w:b/>
          <w:bCs/>
          <w:color w:val="4A343A"/>
          <w:sz w:val="27"/>
          <w:szCs w:val="27"/>
        </w:rPr>
        <w:t xml:space="preserve">2.  How We Understand the Requirement</w:t>
      </w:r>
    </w:p>
    <w:p>
      <w:pPr>
        <w:spacing w:after="120"/>
      </w:pPr>
      <w:r>
        <w:rPr>
          <w:rFonts w:ascii="Calibri" w:cs="Calibri" w:eastAsia="Calibri" w:hAnsi="Calibri"/>
          <w:color w:val="2E2A28"/>
          <w:sz w:val="21"/>
          <w:szCs w:val="21"/>
        </w:rPr>
        <w:t xml:space="preserve">Doft runs premium home-fragrance kiosks in leading malls through the Diwali season. For 2026, and with the plan to carry on in 2027 and 2028, you will run compact 8x8 ft kiosks in busy malls across the metros and sub-metros, trading for six weeks around Diwali. We handle everything on the ground, from hiring and deployment to the day-to-day running. You supply the stock, the kiosk design, the POS/EDC machines and the uniforms.</w:t>
      </w:r>
    </w:p>
    <w:p>
      <w:pPr>
        <w:spacing w:after="80" w:before="200"/>
      </w:pPr>
      <w:r>
        <w:rPr>
          <w:rFonts w:ascii="Cambria" w:cs="Cambria" w:eastAsia="Cambria" w:hAnsi="Cambria"/>
          <w:b/>
          <w:bCs/>
          <w:color w:val="9E5A45"/>
          <w:sz w:val="23"/>
          <w:szCs w:val="23"/>
        </w:rPr>
        <w:t xml:space="preserve">Quick summary</w:t>
      </w:r>
    </w:p>
    <w:tbl>
      <w:tblPr>
        <w:tblW w:type="dxa" w:w="9020"/>
        <w:tblBorders>
          <w:top w:val="single" w:color="D9CFC0" w:sz="2"/>
          <w:left w:val="single" w:color="D9CFC0" w:sz="2"/>
          <w:bottom w:val="single" w:color="D9CFC0" w:sz="2"/>
          <w:right w:val="single" w:color="D9CFC0" w:sz="2"/>
          <w:insideH w:val="single" w:color="D9CFC0" w:sz="2"/>
          <w:insideV w:val="single" w:color="D9CFC0" w:sz="2"/>
        </w:tblBorders>
      </w:tblPr>
      <w:tblGrid>
        <w:gridCol w:w="3000"/>
        <w:gridCol w:w="6020"/>
      </w:tblGrid>
      <w:tr>
        <w:tc>
          <w:tcPr>
            <w:tcW w:type="dxa" w:w="30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Item</w:t>
            </w:r>
          </w:p>
        </w:tc>
        <w:tc>
          <w:tcPr>
            <w:tcW w:type="dxa" w:w="602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Details</w:t>
            </w:r>
          </w:p>
        </w:tc>
      </w:tr>
      <w:tr>
        <w:tc>
          <w:tcPr>
            <w:tcW w:type="dxa" w:w="30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Term</w:t>
            </w:r>
          </w:p>
        </w:tc>
        <w:tc>
          <w:tcPr>
            <w:tcW w:type="dxa" w:w="60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Diwali seasons 2026, 2027 and 2028, renewed each year</w:t>
            </w:r>
          </w:p>
        </w:tc>
      </w:tr>
      <w:tr>
        <w:tc>
          <w:tcPr>
            <w:tcW w:type="dxa" w:w="30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Operating window</w:t>
            </w:r>
          </w:p>
        </w:tc>
        <w:tc>
          <w:tcPr>
            <w:tcW w:type="dxa" w:w="60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Six weeks of live trading per city, across the Diwali season</w:t>
            </w:r>
          </w:p>
        </w:tc>
      </w:tr>
      <w:tr>
        <w:tc>
          <w:tcPr>
            <w:tcW w:type="dxa" w:w="30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Kiosk size</w:t>
            </w:r>
          </w:p>
        </w:tc>
        <w:tc>
          <w:tcPr>
            <w:tcW w:type="dxa" w:w="60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8x8 ft (about 64 sq ft), built to your approved design</w:t>
            </w:r>
          </w:p>
        </w:tc>
      </w:tr>
      <w:tr>
        <w:tc>
          <w:tcPr>
            <w:tcW w:type="dxa" w:w="30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Backup storage</w:t>
            </w:r>
          </w:p>
        </w:tc>
        <w:tc>
          <w:tcPr>
            <w:tcW w:type="dxa" w:w="60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About 40 sq ft of secure storage for replenishment, or mall-provided</w:t>
            </w:r>
          </w:p>
        </w:tc>
      </w:tr>
      <w:tr>
        <w:tc>
          <w:tcPr>
            <w:tcW w:type="dxa" w:w="30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Cities</w:t>
            </w:r>
          </w:p>
        </w:tc>
        <w:tc>
          <w:tcPr>
            <w:tcW w:type="dxa" w:w="60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Metros and sub-metros (our suggestions are in Section 3)</w:t>
            </w:r>
          </w:p>
        </w:tc>
      </w:tr>
      <w:tr>
        <w:tc>
          <w:tcPr>
            <w:tcW w:type="dxa" w:w="30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Kiosks per city</w:t>
            </w:r>
          </w:p>
        </w:tc>
        <w:tc>
          <w:tcPr>
            <w:tcW w:type="dxa" w:w="60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1 to 3, based on mall availability, footfall and your sign-off</w:t>
            </w:r>
          </w:p>
        </w:tc>
      </w:tr>
      <w:tr>
        <w:tc>
          <w:tcPr>
            <w:tcW w:type="dxa" w:w="30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Team</w:t>
            </w:r>
          </w:p>
        </w:tc>
        <w:tc>
          <w:tcPr>
            <w:tcW w:type="dxa" w:w="60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Full team of 12 per kiosk (see Section 5)</w:t>
            </w:r>
          </w:p>
        </w:tc>
      </w:tr>
      <w:tr>
        <w:tc>
          <w:tcPr>
            <w:tcW w:type="dxa" w:w="30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Training</w:t>
            </w:r>
          </w:p>
        </w:tc>
        <w:tc>
          <w:tcPr>
            <w:tcW w:type="dxa" w:w="60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One-day product and sales training by Doft, 10 to 21 days before launch, full attendance</w:t>
            </w:r>
          </w:p>
        </w:tc>
      </w:tr>
      <w:tr>
        <w:tc>
          <w:tcPr>
            <w:tcW w:type="dxa" w:w="30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You supply</w:t>
            </w:r>
          </w:p>
        </w:tc>
        <w:tc>
          <w:tcPr>
            <w:tcW w:type="dxa" w:w="60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Stock, kiosk design and kit, furniture, POS/EDC, uniforms (returnable)</w:t>
            </w:r>
          </w:p>
        </w:tc>
      </w:tr>
      <w:tr>
        <w:tc>
          <w:tcPr>
            <w:tcW w:type="dxa" w:w="30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We handle</w:t>
            </w:r>
          </w:p>
        </w:tc>
        <w:tc>
          <w:tcPr>
            <w:tcW w:type="dxa" w:w="60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Kiosk build and install, manpower, logistics, licences, daily operations and reporting</w:t>
            </w:r>
          </w:p>
        </w:tc>
      </w:tr>
    </w:tbl>
    <w:p>
      <w:pPr>
        <w:pBdr>
          <w:bottom w:val="single" w:color="C39A98" w:sz="8" w:space="4"/>
        </w:pBdr>
        <w:spacing w:after="120" w:before="300"/>
      </w:pPr>
      <w:r>
        <w:rPr>
          <w:rFonts w:ascii="Cambria" w:cs="Cambria" w:eastAsia="Cambria" w:hAnsi="Cambria"/>
          <w:b/>
          <w:bCs/>
          <w:color w:val="4A343A"/>
          <w:sz w:val="27"/>
          <w:szCs w:val="27"/>
        </w:rPr>
        <w:t xml:space="preserve">3.  Suggested City Footprint</w:t>
      </w:r>
    </w:p>
    <w:p>
      <w:pPr>
        <w:spacing w:after="120"/>
      </w:pPr>
      <w:r>
        <w:rPr>
          <w:rFonts w:ascii="Calibri" w:cs="Calibri" w:eastAsia="Calibri" w:hAnsi="Calibri"/>
          <w:color w:val="2E2A28"/>
          <w:sz w:val="21"/>
          <w:szCs w:val="21"/>
        </w:rPr>
        <w:t xml:space="preserve">All locations go live within the same window. The list below sets out the cities we recommend, grouped by metro and sub-metro. The metros carry the highest premium mall footfall and festive spending, and the sub-metros listed have grown into strong premium retail markets.</w:t>
      </w:r>
    </w:p>
    <w:p>
      <w:pPr>
        <w:spacing w:after="80" w:before="200"/>
      </w:pPr>
      <w:r>
        <w:rPr>
          <w:rFonts w:ascii="Cambria" w:cs="Cambria" w:eastAsia="Cambria" w:hAnsi="Cambria"/>
          <w:b/>
          <w:bCs/>
          <w:color w:val="9E5A45"/>
          <w:sz w:val="23"/>
          <w:szCs w:val="23"/>
        </w:rPr>
        <w:t xml:space="preserve">Metro cities</w:t>
      </w:r>
    </w:p>
    <w:tbl>
      <w:tblPr>
        <w:tblW w:type="dxa" w:w="9020"/>
        <w:tblBorders>
          <w:top w:val="single" w:color="D9CFC0" w:sz="2"/>
          <w:left w:val="single" w:color="D9CFC0" w:sz="2"/>
          <w:bottom w:val="single" w:color="D9CFC0" w:sz="2"/>
          <w:right w:val="single" w:color="D9CFC0" w:sz="2"/>
          <w:insideH w:val="single" w:color="D9CFC0" w:sz="2"/>
          <w:insideV w:val="single" w:color="D9CFC0" w:sz="2"/>
        </w:tblBorders>
      </w:tblPr>
      <w:tblGrid>
        <w:gridCol w:w="1700"/>
        <w:gridCol w:w="4620"/>
        <w:gridCol w:w="2700"/>
      </w:tblGrid>
      <w:tr>
        <w:tc>
          <w:tcPr>
            <w:tcW w:type="dxa" w:w="17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City</w:t>
            </w:r>
          </w:p>
        </w:tc>
        <w:tc>
          <w:tcPr>
            <w:tcW w:type="dxa" w:w="462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Indicative premium malls</w:t>
            </w:r>
          </w:p>
        </w:tc>
        <w:tc>
          <w:tcPr>
            <w:tcW w:type="dxa" w:w="27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Why</w:t>
            </w:r>
          </w:p>
        </w:tc>
      </w:tr>
      <w:tr>
        <w:tc>
          <w:tcPr>
            <w:tcW w:type="dxa" w:w="17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Delhi-NCR</w:t>
            </w:r>
          </w:p>
        </w:tc>
        <w:tc>
          <w:tcPr>
            <w:tcW w:type="dxa" w:w="46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Select Citywalk, DLF Promenade/Emporio, Ambience</w:t>
            </w:r>
          </w:p>
        </w:tc>
        <w:tc>
          <w:tcPr>
            <w:tcW w:type="dxa" w:w="27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Largest premium and gifting market</w:t>
            </w:r>
          </w:p>
        </w:tc>
      </w:tr>
      <w:tr>
        <w:tc>
          <w:tcPr>
            <w:tcW w:type="dxa" w:w="17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Mumbai</w:t>
            </w:r>
          </w:p>
        </w:tc>
        <w:tc>
          <w:tcPr>
            <w:tcW w:type="dxa" w:w="46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Phoenix Palladium, Jio World Drive, Inorbit</w:t>
            </w:r>
          </w:p>
        </w:tc>
        <w:tc>
          <w:tcPr>
            <w:tcW w:type="dxa" w:w="27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High spend, strong luxury footfall</w:t>
            </w:r>
          </w:p>
        </w:tc>
      </w:tr>
      <w:tr>
        <w:tc>
          <w:tcPr>
            <w:tcW w:type="dxa" w:w="17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Bengaluru</w:t>
            </w:r>
          </w:p>
        </w:tc>
        <w:tc>
          <w:tcPr>
            <w:tcW w:type="dxa" w:w="46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Phoenix Mall of Asia, Orion, UB City</w:t>
            </w:r>
          </w:p>
        </w:tc>
        <w:tc>
          <w:tcPr>
            <w:tcW w:type="dxa" w:w="27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Young, affluent, big on home décor</w:t>
            </w:r>
          </w:p>
        </w:tc>
      </w:tr>
      <w:tr>
        <w:tc>
          <w:tcPr>
            <w:tcW w:type="dxa" w:w="17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Hyderabad</w:t>
            </w:r>
          </w:p>
        </w:tc>
        <w:tc>
          <w:tcPr>
            <w:tcW w:type="dxa" w:w="46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Sarath City Capital, Inorbit</w:t>
            </w:r>
          </w:p>
        </w:tc>
        <w:tc>
          <w:tcPr>
            <w:tcW w:type="dxa" w:w="27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Fast-growing premium retail</w:t>
            </w:r>
          </w:p>
        </w:tc>
      </w:tr>
      <w:tr>
        <w:tc>
          <w:tcPr>
            <w:tcW w:type="dxa" w:w="17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Chennai</w:t>
            </w:r>
          </w:p>
        </w:tc>
        <w:tc>
          <w:tcPr>
            <w:tcW w:type="dxa" w:w="46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Phoenix Marketcity, Express Avenue</w:t>
            </w:r>
          </w:p>
        </w:tc>
        <w:tc>
          <w:tcPr>
            <w:tcW w:type="dxa" w:w="27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Steady gifting culture</w:t>
            </w:r>
          </w:p>
        </w:tc>
      </w:tr>
      <w:tr>
        <w:tc>
          <w:tcPr>
            <w:tcW w:type="dxa" w:w="17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Kolkata</w:t>
            </w:r>
          </w:p>
        </w:tc>
        <w:tc>
          <w:tcPr>
            <w:tcW w:type="dxa" w:w="46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Quest, South City</w:t>
            </w:r>
          </w:p>
        </w:tc>
        <w:tc>
          <w:tcPr>
            <w:tcW w:type="dxa" w:w="27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Strong festive gifting market</w:t>
            </w:r>
          </w:p>
        </w:tc>
      </w:tr>
      <w:tr>
        <w:tc>
          <w:tcPr>
            <w:tcW w:type="dxa" w:w="17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Pune</w:t>
            </w:r>
          </w:p>
        </w:tc>
        <w:tc>
          <w:tcPr>
            <w:tcW w:type="dxa" w:w="46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Phoenix Marketcity, Amanora</w:t>
            </w:r>
          </w:p>
        </w:tc>
        <w:tc>
          <w:tcPr>
            <w:tcW w:type="dxa" w:w="27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Affluent, high mall engagement</w:t>
            </w:r>
          </w:p>
        </w:tc>
      </w:tr>
    </w:tbl>
    <w:p>
      <w:pPr>
        <w:spacing w:after="80" w:before="200"/>
      </w:pPr>
      <w:r>
        <w:rPr>
          <w:rFonts w:ascii="Cambria" w:cs="Cambria" w:eastAsia="Cambria" w:hAnsi="Cambria"/>
          <w:b/>
          <w:bCs/>
          <w:color w:val="9E5A45"/>
          <w:sz w:val="23"/>
          <w:szCs w:val="23"/>
        </w:rPr>
        <w:t xml:space="preserve">Sub-metro cities</w:t>
      </w:r>
    </w:p>
    <w:tbl>
      <w:tblPr>
        <w:tblW w:type="dxa" w:w="9020"/>
        <w:tblBorders>
          <w:top w:val="single" w:color="D9CFC0" w:sz="2"/>
          <w:left w:val="single" w:color="D9CFC0" w:sz="2"/>
          <w:bottom w:val="single" w:color="D9CFC0" w:sz="2"/>
          <w:right w:val="single" w:color="D9CFC0" w:sz="2"/>
          <w:insideH w:val="single" w:color="D9CFC0" w:sz="2"/>
          <w:insideV w:val="single" w:color="D9CFC0" w:sz="2"/>
        </w:tblBorders>
      </w:tblPr>
      <w:tblGrid>
        <w:gridCol w:w="1700"/>
        <w:gridCol w:w="4620"/>
        <w:gridCol w:w="2700"/>
      </w:tblGrid>
      <w:tr>
        <w:tc>
          <w:tcPr>
            <w:tcW w:type="dxa" w:w="17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City</w:t>
            </w:r>
          </w:p>
        </w:tc>
        <w:tc>
          <w:tcPr>
            <w:tcW w:type="dxa" w:w="462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Indicative premium malls</w:t>
            </w:r>
          </w:p>
        </w:tc>
        <w:tc>
          <w:tcPr>
            <w:tcW w:type="dxa" w:w="27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Why</w:t>
            </w:r>
          </w:p>
        </w:tc>
      </w:tr>
      <w:tr>
        <w:tc>
          <w:tcPr>
            <w:tcW w:type="dxa" w:w="17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Ahmedabad</w:t>
            </w:r>
          </w:p>
        </w:tc>
        <w:tc>
          <w:tcPr>
            <w:tcW w:type="dxa" w:w="46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Ahmedabad One, AlphaOne</w:t>
            </w:r>
          </w:p>
        </w:tc>
        <w:tc>
          <w:tcPr>
            <w:tcW w:type="dxa" w:w="27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Large, affluent, gifting-led</w:t>
            </w:r>
          </w:p>
        </w:tc>
      </w:tr>
      <w:tr>
        <w:tc>
          <w:tcPr>
            <w:tcW w:type="dxa" w:w="17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Jaipur</w:t>
            </w:r>
          </w:p>
        </w:tc>
        <w:tc>
          <w:tcPr>
            <w:tcW w:type="dxa" w:w="46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World Trade Park</w:t>
            </w:r>
          </w:p>
        </w:tc>
        <w:tc>
          <w:tcPr>
            <w:tcW w:type="dxa" w:w="27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Premium and wedding season spend</w:t>
            </w:r>
          </w:p>
        </w:tc>
      </w:tr>
      <w:tr>
        <w:tc>
          <w:tcPr>
            <w:tcW w:type="dxa" w:w="17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Chandigarh</w:t>
            </w:r>
          </w:p>
        </w:tc>
        <w:tc>
          <w:tcPr>
            <w:tcW w:type="dxa" w:w="46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Elante</w:t>
            </w:r>
          </w:p>
        </w:tc>
        <w:tc>
          <w:tcPr>
            <w:tcW w:type="dxa" w:w="27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High per-head premium retail</w:t>
            </w:r>
          </w:p>
        </w:tc>
      </w:tr>
      <w:tr>
        <w:tc>
          <w:tcPr>
            <w:tcW w:type="dxa" w:w="17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Lucknow</w:t>
            </w:r>
          </w:p>
        </w:tc>
        <w:tc>
          <w:tcPr>
            <w:tcW w:type="dxa" w:w="46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Phoenix Palassio</w:t>
            </w:r>
          </w:p>
        </w:tc>
        <w:tc>
          <w:tcPr>
            <w:tcW w:type="dxa" w:w="27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Rising luxury mall footfall</w:t>
            </w:r>
          </w:p>
        </w:tc>
      </w:tr>
      <w:tr>
        <w:tc>
          <w:tcPr>
            <w:tcW w:type="dxa" w:w="17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Kochi</w:t>
            </w:r>
          </w:p>
        </w:tc>
        <w:tc>
          <w:tcPr>
            <w:tcW w:type="dxa" w:w="46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Lulu Mall</w:t>
            </w:r>
          </w:p>
        </w:tc>
        <w:tc>
          <w:tcPr>
            <w:tcW w:type="dxa" w:w="27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Very high footfall, premium mix</w:t>
            </w:r>
          </w:p>
        </w:tc>
      </w:tr>
      <w:tr>
        <w:tc>
          <w:tcPr>
            <w:tcW w:type="dxa" w:w="17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Indore</w:t>
            </w:r>
          </w:p>
        </w:tc>
        <w:tc>
          <w:tcPr>
            <w:tcW w:type="dxa" w:w="46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Phoenix Citadel, C21</w:t>
            </w:r>
          </w:p>
        </w:tc>
        <w:tc>
          <w:tcPr>
            <w:tcW w:type="dxa" w:w="27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Growing premium spend</w:t>
            </w:r>
          </w:p>
        </w:tc>
      </w:tr>
      <w:tr>
        <w:tc>
          <w:tcPr>
            <w:tcW w:type="dxa" w:w="17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Surat</w:t>
            </w:r>
          </w:p>
        </w:tc>
        <w:tc>
          <w:tcPr>
            <w:tcW w:type="dxa" w:w="46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VR Surat</w:t>
            </w:r>
          </w:p>
        </w:tc>
        <w:tc>
          <w:tcPr>
            <w:tcW w:type="dxa" w:w="27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High income, gifting-oriented</w:t>
            </w:r>
          </w:p>
        </w:tc>
      </w:tr>
    </w:tbl>
    <w:p>
      <w:pPr>
        <w:spacing w:after="120"/>
      </w:pPr>
      <w:r>
        <w:rPr>
          <w:rFonts w:ascii="Calibri" w:cs="Calibri" w:eastAsia="Calibri" w:hAnsi="Calibri"/>
          <w:i/>
          <w:iCs/>
          <w:color w:val="6B625C"/>
          <w:sz w:val="19"/>
          <w:szCs w:val="19"/>
        </w:rPr>
        <w:t xml:space="preserve">These mall names are only indicative. We will confirm the final list against live availability, footfall, category fit and licence cost. We advise confirming the city list early, since premium Diwali slots fill up quickly.</w:t>
      </w:r>
    </w:p>
    <w:p>
      <w:pPr>
        <w:pBdr>
          <w:bottom w:val="single" w:color="C39A98" w:sz="8" w:space="4"/>
        </w:pBdr>
        <w:spacing w:after="120" w:before="300"/>
      </w:pPr>
      <w:r>
        <w:rPr>
          <w:rFonts w:ascii="Cambria" w:cs="Cambria" w:eastAsia="Cambria" w:hAnsi="Cambria"/>
          <w:b/>
          <w:bCs/>
          <w:color w:val="4A343A"/>
          <w:sz w:val="27"/>
          <w:szCs w:val="27"/>
        </w:rPr>
        <w:t xml:space="preserve">4.  What We Will Deliver</w:t>
      </w:r>
    </w:p>
    <w:p>
      <w:pPr>
        <w:spacing w:after="120"/>
      </w:pPr>
      <w:r>
        <w:rPr>
          <w:rFonts w:ascii="Calibri" w:cs="Calibri" w:eastAsia="Calibri" w:hAnsi="Calibri"/>
          <w:color w:val="2E2A28"/>
          <w:sz w:val="21"/>
          <w:szCs w:val="21"/>
        </w:rPr>
        <w:t xml:space="preserve">We will run the workstreams below, each to your brand standards and the mall's compliance rules.</w:t>
      </w:r>
    </w:p>
    <w:tbl>
      <w:tblPr>
        <w:tblW w:type="dxa" w:w="9020"/>
        <w:tblBorders>
          <w:top w:val="single" w:color="D9CFC0" w:sz="2"/>
          <w:left w:val="single" w:color="D9CFC0" w:sz="2"/>
          <w:bottom w:val="single" w:color="D9CFC0" w:sz="2"/>
          <w:right w:val="single" w:color="D9CFC0" w:sz="2"/>
          <w:insideH w:val="single" w:color="D9CFC0" w:sz="2"/>
          <w:insideV w:val="single" w:color="D9CFC0" w:sz="2"/>
        </w:tblBorders>
      </w:tblPr>
      <w:tblGrid>
        <w:gridCol w:w="2500"/>
        <w:gridCol w:w="6520"/>
      </w:tblGrid>
      <w:tr>
        <w:tc>
          <w:tcPr>
            <w:tcW w:type="dxa" w:w="25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Workstream</w:t>
            </w:r>
          </w:p>
        </w:tc>
        <w:tc>
          <w:tcPr>
            <w:tcW w:type="dxa" w:w="652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What we deliver</w:t>
            </w:r>
          </w:p>
        </w:tc>
      </w:tr>
      <w:tr>
        <w:tc>
          <w:tcPr>
            <w:tcW w:type="dxa" w:w="25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1. Kiosk build &amp; install</w:t>
            </w:r>
          </w:p>
        </w:tc>
        <w:tc>
          <w:tcPr>
            <w:tcW w:type="dxa" w:w="6520"/>
            <w:shd w:fill="FFFFFF" w:color="auto" w:val="clear"/>
            <w:tcMar>
              <w:top w:type="dxa" w:w="70"/>
              <w:left w:type="dxa" w:w="110"/>
              <w:bottom w:type="dxa" w:w="70"/>
              <w:right w:type="dxa" w:w="110"/>
            </w:tcMar>
            <w:vAlign w:val="center"/>
          </w:tcPr>
          <w:p>
            <w:pPr>
              <w:pStyle w:val="ListParagraph"/>
              <w:numPr>
                <w:ilvl w:val="0"/>
                <w:numId w:val="2"/>
              </w:numPr>
              <w:spacing w:after="30"/>
            </w:pPr>
            <w:r>
              <w:rPr>
                <w:rFonts w:ascii="Calibri" w:cs="Calibri" w:eastAsia="Calibri" w:hAnsi="Calibri"/>
                <w:color w:val="2E2A28"/>
                <w:sz w:val="18"/>
                <w:szCs w:val="18"/>
              </w:rPr>
              <w:t xml:space="preserve">Build and install the 8x8 kiosk to your approved design</w:t>
            </w:r>
          </w:p>
          <w:p>
            <w:pPr>
              <w:pStyle w:val="ListParagraph"/>
              <w:numPr>
                <w:ilvl w:val="0"/>
                <w:numId w:val="2"/>
              </w:numPr>
              <w:spacing w:after="30"/>
            </w:pPr>
            <w:r>
              <w:rPr>
                <w:rFonts w:ascii="Calibri" w:cs="Calibri" w:eastAsia="Calibri" w:hAnsi="Calibri"/>
                <w:color w:val="2E2A28"/>
                <w:sz w:val="18"/>
                <w:szCs w:val="18"/>
              </w:rPr>
              <w:t xml:space="preserve">Transport, setup, upkeep, dismantling and return of fixtures</w:t>
            </w:r>
          </w:p>
          <w:p>
            <w:pPr>
              <w:pStyle w:val="ListParagraph"/>
              <w:numPr>
                <w:ilvl w:val="0"/>
                <w:numId w:val="2"/>
              </w:numPr>
              <w:spacing w:after="30"/>
            </w:pPr>
            <w:r>
              <w:rPr>
                <w:rFonts w:ascii="Calibri" w:cs="Calibri" w:eastAsia="Calibri" w:hAnsi="Calibri"/>
                <w:color w:val="2E2A28"/>
                <w:sz w:val="18"/>
                <w:szCs w:val="18"/>
              </w:rPr>
              <w:t xml:space="preserve">A 3-day buffer before go-live to cover any build delay</w:t>
            </w:r>
          </w:p>
        </w:tc>
      </w:tr>
      <w:tr>
        <w:tc>
          <w:tcPr>
            <w:tcW w:type="dxa" w:w="25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2. Mall coordination &amp; legal</w:t>
            </w:r>
          </w:p>
        </w:tc>
        <w:tc>
          <w:tcPr>
            <w:tcW w:type="dxa" w:w="6520"/>
            <w:shd w:fill="F3EEE6" w:color="auto" w:val="clear"/>
            <w:tcMar>
              <w:top w:type="dxa" w:w="70"/>
              <w:left w:type="dxa" w:w="110"/>
              <w:bottom w:type="dxa" w:w="70"/>
              <w:right w:type="dxa" w:w="110"/>
            </w:tcMar>
            <w:vAlign w:val="center"/>
          </w:tcPr>
          <w:p>
            <w:pPr>
              <w:pStyle w:val="ListParagraph"/>
              <w:numPr>
                <w:ilvl w:val="0"/>
                <w:numId w:val="2"/>
              </w:numPr>
              <w:spacing w:after="30"/>
            </w:pPr>
            <w:r>
              <w:rPr>
                <w:rFonts w:ascii="Calibri" w:cs="Calibri" w:eastAsia="Calibri" w:hAnsi="Calibri"/>
                <w:color w:val="2E2A28"/>
                <w:sz w:val="18"/>
                <w:szCs w:val="18"/>
              </w:rPr>
              <w:t xml:space="preserve">Liaison with mall management through the season</w:t>
            </w:r>
          </w:p>
          <w:p>
            <w:pPr>
              <w:pStyle w:val="ListParagraph"/>
              <w:numPr>
                <w:ilvl w:val="0"/>
                <w:numId w:val="2"/>
              </w:numPr>
              <w:spacing w:after="30"/>
            </w:pPr>
            <w:r>
              <w:rPr>
                <w:rFonts w:ascii="Calibri" w:cs="Calibri" w:eastAsia="Calibri" w:hAnsi="Calibri"/>
                <w:color w:val="2E2A28"/>
                <w:sz w:val="18"/>
                <w:szCs w:val="18"/>
              </w:rPr>
              <w:t xml:space="preserve">All permissions, licences, documents and compliance</w:t>
            </w:r>
          </w:p>
          <w:p>
            <w:pPr>
              <w:pStyle w:val="ListParagraph"/>
              <w:numPr>
                <w:ilvl w:val="0"/>
                <w:numId w:val="2"/>
              </w:numPr>
              <w:spacing w:after="30"/>
            </w:pPr>
            <w:r>
              <w:rPr>
                <w:rFonts w:ascii="Calibri" w:cs="Calibri" w:eastAsia="Calibri" w:hAnsi="Calibri"/>
                <w:color w:val="2E2A28"/>
                <w:sz w:val="18"/>
                <w:szCs w:val="18"/>
              </w:rPr>
              <w:t xml:space="preserve">Electricity, access passes, loading/unloading and operational approvals</w:t>
            </w:r>
          </w:p>
        </w:tc>
      </w:tr>
      <w:tr>
        <w:tc>
          <w:tcPr>
            <w:tcW w:type="dxa" w:w="25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3. Logistics &amp; replenishment</w:t>
            </w:r>
          </w:p>
        </w:tc>
        <w:tc>
          <w:tcPr>
            <w:tcW w:type="dxa" w:w="6520"/>
            <w:shd w:fill="FFFFFF" w:color="auto" w:val="clear"/>
            <w:tcMar>
              <w:top w:type="dxa" w:w="70"/>
              <w:left w:type="dxa" w:w="110"/>
              <w:bottom w:type="dxa" w:w="70"/>
              <w:right w:type="dxa" w:w="110"/>
            </w:tcMar>
            <w:vAlign w:val="center"/>
          </w:tcPr>
          <w:p>
            <w:pPr>
              <w:pStyle w:val="ListParagraph"/>
              <w:numPr>
                <w:ilvl w:val="0"/>
                <w:numId w:val="2"/>
              </w:numPr>
              <w:spacing w:after="30"/>
            </w:pPr>
            <w:r>
              <w:rPr>
                <w:rFonts w:ascii="Calibri" w:cs="Calibri" w:eastAsia="Calibri" w:hAnsi="Calibri"/>
                <w:color w:val="2E2A28"/>
                <w:sz w:val="18"/>
                <w:szCs w:val="18"/>
              </w:rPr>
              <w:t xml:space="preserve">Pick up and move stock from your Ghaziabad warehouse</w:t>
            </w:r>
          </w:p>
          <w:p>
            <w:pPr>
              <w:pStyle w:val="ListParagraph"/>
              <w:numPr>
                <w:ilvl w:val="0"/>
                <w:numId w:val="2"/>
              </w:numPr>
              <w:spacing w:after="30"/>
            </w:pPr>
            <w:r>
              <w:rPr>
                <w:rFonts w:ascii="Calibri" w:cs="Calibri" w:eastAsia="Calibri" w:hAnsi="Calibri"/>
                <w:color w:val="2E2A28"/>
                <w:sz w:val="18"/>
                <w:szCs w:val="18"/>
              </w:rPr>
              <w:t xml:space="preserve">Refill on time from local storage, with reorder levels set per SKU</w:t>
            </w:r>
          </w:p>
          <w:p>
            <w:pPr>
              <w:pStyle w:val="ListParagraph"/>
              <w:numPr>
                <w:ilvl w:val="0"/>
                <w:numId w:val="2"/>
              </w:numPr>
              <w:spacing w:after="30"/>
            </w:pPr>
            <w:r>
              <w:rPr>
                <w:rFonts w:ascii="Calibri" w:cs="Calibri" w:eastAsia="Calibri" w:hAnsi="Calibri"/>
                <w:color w:val="2E2A28"/>
                <w:sz w:val="18"/>
                <w:szCs w:val="18"/>
              </w:rPr>
              <w:t xml:space="preserve">Safe handling, stock control, and return of unsold stock with reconciliation</w:t>
            </w:r>
          </w:p>
        </w:tc>
      </w:tr>
      <w:tr>
        <w:tc>
          <w:tcPr>
            <w:tcW w:type="dxa" w:w="25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4. Recruitment &amp; staffing</w:t>
            </w:r>
          </w:p>
        </w:tc>
        <w:tc>
          <w:tcPr>
            <w:tcW w:type="dxa" w:w="6520"/>
            <w:shd w:fill="F3EEE6" w:color="auto" w:val="clear"/>
            <w:tcMar>
              <w:top w:type="dxa" w:w="70"/>
              <w:left w:type="dxa" w:w="110"/>
              <w:bottom w:type="dxa" w:w="70"/>
              <w:right w:type="dxa" w:w="110"/>
            </w:tcMar>
            <w:vAlign w:val="center"/>
          </w:tcPr>
          <w:p>
            <w:pPr>
              <w:pStyle w:val="ListParagraph"/>
              <w:numPr>
                <w:ilvl w:val="0"/>
                <w:numId w:val="2"/>
              </w:numPr>
              <w:spacing w:after="30"/>
            </w:pPr>
            <w:r>
              <w:rPr>
                <w:rFonts w:ascii="Calibri" w:cs="Calibri" w:eastAsia="Calibri" w:hAnsi="Calibri"/>
                <w:color w:val="2E2A28"/>
                <w:sz w:val="18"/>
                <w:szCs w:val="18"/>
              </w:rPr>
              <w:t xml:space="preserve">Sourcing, background checks, deployment and attendance</w:t>
            </w:r>
          </w:p>
          <w:p>
            <w:pPr>
              <w:pStyle w:val="ListParagraph"/>
              <w:numPr>
                <w:ilvl w:val="0"/>
                <w:numId w:val="2"/>
              </w:numPr>
              <w:spacing w:after="30"/>
            </w:pPr>
            <w:r>
              <w:rPr>
                <w:rFonts w:ascii="Calibri" w:cs="Calibri" w:eastAsia="Calibri" w:hAnsi="Calibri"/>
                <w:color w:val="2E2A28"/>
                <w:sz w:val="18"/>
                <w:szCs w:val="18"/>
              </w:rPr>
              <w:t xml:space="preserve">Payroll and full statutory compliance for all staff</w:t>
            </w:r>
          </w:p>
          <w:p>
            <w:pPr>
              <w:pStyle w:val="ListParagraph"/>
              <w:numPr>
                <w:ilvl w:val="0"/>
                <w:numId w:val="2"/>
              </w:numPr>
              <w:spacing w:after="30"/>
            </w:pPr>
            <w:r>
              <w:rPr>
                <w:rFonts w:ascii="Calibri" w:cs="Calibri" w:eastAsia="Calibri" w:hAnsi="Calibri"/>
                <w:color w:val="2E2A28"/>
                <w:sz w:val="18"/>
                <w:szCs w:val="18"/>
              </w:rPr>
              <w:t xml:space="preserve">Same-day replacement of any absent or resigned staff, at no extra cost</w:t>
            </w:r>
          </w:p>
        </w:tc>
      </w:tr>
      <w:tr>
        <w:tc>
          <w:tcPr>
            <w:tcW w:type="dxa" w:w="25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5. Training support</w:t>
            </w:r>
          </w:p>
        </w:tc>
        <w:tc>
          <w:tcPr>
            <w:tcW w:type="dxa" w:w="6520"/>
            <w:shd w:fill="FFFFFF" w:color="auto" w:val="clear"/>
            <w:tcMar>
              <w:top w:type="dxa" w:w="70"/>
              <w:left w:type="dxa" w:w="110"/>
              <w:bottom w:type="dxa" w:w="70"/>
              <w:right w:type="dxa" w:w="110"/>
            </w:tcMar>
            <w:vAlign w:val="center"/>
          </w:tcPr>
          <w:p>
            <w:pPr>
              <w:pStyle w:val="ListParagraph"/>
              <w:numPr>
                <w:ilvl w:val="0"/>
                <w:numId w:val="2"/>
              </w:numPr>
              <w:spacing w:after="30"/>
            </w:pPr>
            <w:r>
              <w:rPr>
                <w:rFonts w:ascii="Calibri" w:cs="Calibri" w:eastAsia="Calibri" w:hAnsi="Calibri"/>
                <w:color w:val="2E2A28"/>
                <w:sz w:val="18"/>
                <w:szCs w:val="18"/>
              </w:rPr>
              <w:t xml:space="preserve">Get full attendance at your one-day product and sales training</w:t>
            </w:r>
          </w:p>
          <w:p>
            <w:pPr>
              <w:pStyle w:val="ListParagraph"/>
              <w:numPr>
                <w:ilvl w:val="0"/>
                <w:numId w:val="2"/>
              </w:numPr>
              <w:spacing w:after="30"/>
            </w:pPr>
            <w:r>
              <w:rPr>
                <w:rFonts w:ascii="Calibri" w:cs="Calibri" w:eastAsia="Calibri" w:hAnsi="Calibri"/>
                <w:color w:val="2E2A28"/>
                <w:sz w:val="18"/>
                <w:szCs w:val="18"/>
              </w:rPr>
              <w:t xml:space="preserve">Keep trained staff on through the season, and train any replacements</w:t>
            </w:r>
          </w:p>
        </w:tc>
      </w:tr>
      <w:tr>
        <w:tc>
          <w:tcPr>
            <w:tcW w:type="dxa" w:w="25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6. Store operations</w:t>
            </w:r>
          </w:p>
        </w:tc>
        <w:tc>
          <w:tcPr>
            <w:tcW w:type="dxa" w:w="6520"/>
            <w:shd w:fill="F3EEE6" w:color="auto" w:val="clear"/>
            <w:tcMar>
              <w:top w:type="dxa" w:w="70"/>
              <w:left w:type="dxa" w:w="110"/>
              <w:bottom w:type="dxa" w:w="70"/>
              <w:right w:type="dxa" w:w="110"/>
            </w:tcMar>
            <w:vAlign w:val="center"/>
          </w:tcPr>
          <w:p>
            <w:pPr>
              <w:pStyle w:val="ListParagraph"/>
              <w:numPr>
                <w:ilvl w:val="0"/>
                <w:numId w:val="2"/>
              </w:numPr>
              <w:spacing w:after="30"/>
            </w:pPr>
            <w:r>
              <w:rPr>
                <w:rFonts w:ascii="Calibri" w:cs="Calibri" w:eastAsia="Calibri" w:hAnsi="Calibri"/>
                <w:color w:val="2E2A28"/>
                <w:sz w:val="18"/>
                <w:szCs w:val="18"/>
              </w:rPr>
              <w:t xml:space="preserve">Daily open and close, sales and customer service</w:t>
            </w:r>
          </w:p>
          <w:p>
            <w:pPr>
              <w:pStyle w:val="ListParagraph"/>
              <w:numPr>
                <w:ilvl w:val="0"/>
                <w:numId w:val="2"/>
              </w:numPr>
              <w:spacing w:after="30"/>
            </w:pPr>
            <w:r>
              <w:rPr>
                <w:rFonts w:ascii="Calibri" w:cs="Calibri" w:eastAsia="Calibri" w:hAnsi="Calibri"/>
                <w:color w:val="2E2A28"/>
                <w:sz w:val="18"/>
                <w:szCs w:val="18"/>
              </w:rPr>
              <w:t xml:space="preserve">Cash handling and POS/EDC, plus visual merchandising and cleanliness</w:t>
            </w:r>
          </w:p>
          <w:p>
            <w:pPr>
              <w:pStyle w:val="ListParagraph"/>
              <w:numPr>
                <w:ilvl w:val="0"/>
                <w:numId w:val="2"/>
              </w:numPr>
              <w:spacing w:after="30"/>
            </w:pPr>
            <w:r>
              <w:rPr>
                <w:rFonts w:ascii="Calibri" w:cs="Calibri" w:eastAsia="Calibri" w:hAnsi="Calibri"/>
                <w:color w:val="2E2A28"/>
                <w:sz w:val="18"/>
                <w:szCs w:val="18"/>
              </w:rPr>
              <w:t xml:space="preserve">Stock reconciliation, and compliance with mall and Doft standards</w:t>
            </w:r>
          </w:p>
        </w:tc>
      </w:tr>
      <w:tr>
        <w:tc>
          <w:tcPr>
            <w:tcW w:type="dxa" w:w="25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7. Reporting</w:t>
            </w:r>
          </w:p>
        </w:tc>
        <w:tc>
          <w:tcPr>
            <w:tcW w:type="dxa" w:w="6520"/>
            <w:shd w:fill="FFFFFF" w:color="auto" w:val="clear"/>
            <w:tcMar>
              <w:top w:type="dxa" w:w="70"/>
              <w:left w:type="dxa" w:w="110"/>
              <w:bottom w:type="dxa" w:w="70"/>
              <w:right w:type="dxa" w:w="110"/>
            </w:tcMar>
            <w:vAlign w:val="center"/>
          </w:tcPr>
          <w:p>
            <w:pPr>
              <w:pStyle w:val="ListParagraph"/>
              <w:numPr>
                <w:ilvl w:val="0"/>
                <w:numId w:val="2"/>
              </w:numPr>
              <w:spacing w:after="30"/>
            </w:pPr>
            <w:r>
              <w:rPr>
                <w:rFonts w:ascii="Calibri" w:cs="Calibri" w:eastAsia="Calibri" w:hAnsi="Calibri"/>
                <w:color w:val="2E2A28"/>
                <w:sz w:val="18"/>
                <w:szCs w:val="18"/>
              </w:rPr>
              <w:t xml:space="preserve">Daily numbers on sales, footfall, stock, replenishment and attendance</w:t>
            </w:r>
          </w:p>
          <w:p>
            <w:pPr>
              <w:pStyle w:val="ListParagraph"/>
              <w:numPr>
                <w:ilvl w:val="0"/>
                <w:numId w:val="2"/>
              </w:numPr>
              <w:spacing w:after="30"/>
            </w:pPr>
            <w:r>
              <w:rPr>
                <w:rFonts w:ascii="Calibri" w:cs="Calibri" w:eastAsia="Calibri" w:hAnsi="Calibri"/>
                <w:color w:val="2E2A28"/>
                <w:sz w:val="18"/>
                <w:szCs w:val="18"/>
              </w:rPr>
              <w:t xml:space="preserve">Customer feedback and a log of any operational issues</w:t>
            </w:r>
          </w:p>
          <w:p>
            <w:pPr>
              <w:pStyle w:val="ListParagraph"/>
              <w:numPr>
                <w:ilvl w:val="0"/>
                <w:numId w:val="2"/>
              </w:numPr>
              <w:spacing w:after="30"/>
            </w:pPr>
            <w:r>
              <w:rPr>
                <w:rFonts w:ascii="Calibri" w:cs="Calibri" w:eastAsia="Calibri" w:hAnsi="Calibri"/>
                <w:color w:val="2E2A28"/>
                <w:sz w:val="18"/>
                <w:szCs w:val="18"/>
              </w:rPr>
              <w:t xml:space="preserve">Weekly city reviews and a full reconciliation at the end of the season</w:t>
            </w:r>
          </w:p>
        </w:tc>
      </w:tr>
    </w:tbl>
    <w:p>
      <w:pPr>
        <w:pBdr>
          <w:bottom w:val="single" w:color="C39A98" w:sz="8" w:space="4"/>
        </w:pBdr>
        <w:spacing w:after="120" w:before="300"/>
      </w:pPr>
      <w:r>
        <w:rPr>
          <w:rFonts w:ascii="Cambria" w:cs="Cambria" w:eastAsia="Cambria" w:hAnsi="Cambria"/>
          <w:b/>
          <w:bCs/>
          <w:color w:val="4A343A"/>
          <w:sz w:val="27"/>
          <w:szCs w:val="27"/>
        </w:rPr>
        <w:t xml:space="preserve">5.  Team Per Kiosk</w:t>
      </w:r>
    </w:p>
    <w:p>
      <w:pPr>
        <w:spacing w:after="120"/>
      </w:pPr>
      <w:r>
        <w:rPr>
          <w:rFonts w:ascii="Calibri" w:cs="Calibri" w:eastAsia="Calibri" w:hAnsi="Calibri"/>
          <w:color w:val="2E2A28"/>
          <w:sz w:val="21"/>
          <w:szCs w:val="21"/>
        </w:rPr>
        <w:t xml:space="preserve">We will deploy the full team specified in the brief at every kiosk: twelve people covering sales, support, cash handling, housekeeping and transport, led by a Team Leader who is a permanent ProMarcom employee. Alongside this, we will hold a trained bench of about 15% per city, so any absence is covered the same day at no extra cost to you.</w:t>
      </w:r>
    </w:p>
    <w:tbl>
      <w:tblPr>
        <w:tblW w:type="dxa" w:w="9020"/>
        <w:tblBorders>
          <w:top w:val="single" w:color="D9CFC0" w:sz="2"/>
          <w:left w:val="single" w:color="D9CFC0" w:sz="2"/>
          <w:bottom w:val="single" w:color="D9CFC0" w:sz="2"/>
          <w:right w:val="single" w:color="D9CFC0" w:sz="2"/>
          <w:insideH w:val="single" w:color="D9CFC0" w:sz="2"/>
          <w:insideV w:val="single" w:color="D9CFC0" w:sz="2"/>
        </w:tblBorders>
      </w:tblPr>
      <w:tblGrid>
        <w:gridCol w:w="3000"/>
        <w:gridCol w:w="1500"/>
        <w:gridCol w:w="4520"/>
      </w:tblGrid>
      <w:tr>
        <w:tc>
          <w:tcPr>
            <w:tcW w:type="dxa" w:w="30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Role</w:t>
            </w:r>
          </w:p>
        </w:tc>
        <w:tc>
          <w:tcPr>
            <w:tcW w:type="dxa" w:w="15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Per kiosk</w:t>
            </w:r>
          </w:p>
        </w:tc>
        <w:tc>
          <w:tcPr>
            <w:tcW w:type="dxa" w:w="452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Notes</w:t>
            </w:r>
          </w:p>
        </w:tc>
      </w:tr>
      <w:tr>
        <w:tc>
          <w:tcPr>
            <w:tcW w:type="dxa" w:w="30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Sales Executives</w:t>
            </w:r>
          </w:p>
        </w:tc>
        <w:tc>
          <w:tcPr>
            <w:tcW w:type="dxa" w:w="15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6</w:t>
            </w:r>
          </w:p>
        </w:tc>
        <w:tc>
          <w:tcPr>
            <w:tcW w:type="dxa" w:w="45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Female, 22-25, fluent English, retail sales experience</w:t>
            </w:r>
          </w:p>
        </w:tc>
      </w:tr>
      <w:tr>
        <w:tc>
          <w:tcPr>
            <w:tcW w:type="dxa" w:w="30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Sales Support Staff</w:t>
            </w:r>
          </w:p>
        </w:tc>
        <w:tc>
          <w:tcPr>
            <w:tcW w:type="dxa" w:w="15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2</w:t>
            </w:r>
          </w:p>
        </w:tc>
        <w:tc>
          <w:tcPr>
            <w:tcW w:type="dxa" w:w="45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Merchandising, stock handling and queue management</w:t>
            </w:r>
          </w:p>
        </w:tc>
      </w:tr>
      <w:tr>
        <w:tc>
          <w:tcPr>
            <w:tcW w:type="dxa" w:w="30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Helper</w:t>
            </w:r>
          </w:p>
        </w:tc>
        <w:tc>
          <w:tcPr>
            <w:tcW w:type="dxa" w:w="15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1</w:t>
            </w:r>
          </w:p>
        </w:tc>
        <w:tc>
          <w:tcPr>
            <w:tcW w:type="dxa" w:w="45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Housekeeping and material handling</w:t>
            </w:r>
          </w:p>
        </w:tc>
      </w:tr>
      <w:tr>
        <w:tc>
          <w:tcPr>
            <w:tcW w:type="dxa" w:w="30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Cashier</w:t>
            </w:r>
          </w:p>
        </w:tc>
        <w:tc>
          <w:tcPr>
            <w:tcW w:type="dxa" w:w="15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1</w:t>
            </w:r>
          </w:p>
        </w:tc>
        <w:tc>
          <w:tcPr>
            <w:tcW w:type="dxa" w:w="45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Experienced on POS/EDC machines</w:t>
            </w:r>
          </w:p>
        </w:tc>
      </w:tr>
      <w:tr>
        <w:tc>
          <w:tcPr>
            <w:tcW w:type="dxa" w:w="30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Driver</w:t>
            </w:r>
          </w:p>
        </w:tc>
        <w:tc>
          <w:tcPr>
            <w:tcW w:type="dxa" w:w="15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1</w:t>
            </w:r>
          </w:p>
        </w:tc>
        <w:tc>
          <w:tcPr>
            <w:tcW w:type="dxa" w:w="45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Stock transport and replenishment runs</w:t>
            </w:r>
          </w:p>
        </w:tc>
      </w:tr>
      <w:tr>
        <w:tc>
          <w:tcPr>
            <w:tcW w:type="dxa" w:w="30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Team Leader / Manager</w:t>
            </w:r>
          </w:p>
        </w:tc>
        <w:tc>
          <w:tcPr>
            <w:tcW w:type="dxa" w:w="15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1</w:t>
            </w:r>
          </w:p>
        </w:tc>
        <w:tc>
          <w:tcPr>
            <w:tcW w:type="dxa" w:w="45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Permanent ProMarcom employee who runs the kiosk</w:t>
            </w:r>
          </w:p>
        </w:tc>
      </w:tr>
      <w:tr>
        <w:tc>
          <w:tcPr>
            <w:tcW w:type="dxa" w:w="3000"/>
            <w:shd w:fill="EADFCE"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Total per kiosk</w:t>
            </w:r>
          </w:p>
        </w:tc>
        <w:tc>
          <w:tcPr>
            <w:tcW w:type="dxa" w:w="1500"/>
            <w:shd w:fill="EADFCE"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12</w:t>
            </w:r>
          </w:p>
        </w:tc>
        <w:tc>
          <w:tcPr>
            <w:tcW w:type="dxa" w:w="4520"/>
            <w:shd w:fill="EADFCE"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Plus a trained bench of about 15% per city for quick cover</w:t>
            </w:r>
          </w:p>
        </w:tc>
      </w:tr>
    </w:tbl>
    <w:p>
      <w:pPr>
        <w:pBdr>
          <w:bottom w:val="single" w:color="C39A98" w:sz="8" w:space="4"/>
        </w:pBdr>
        <w:spacing w:after="120" w:before="300"/>
      </w:pPr>
      <w:r>
        <w:rPr>
          <w:rFonts w:ascii="Cambria" w:cs="Cambria" w:eastAsia="Cambria" w:hAnsi="Cambria"/>
          <w:b/>
          <w:bCs/>
          <w:color w:val="4A343A"/>
          <w:sz w:val="27"/>
          <w:szCs w:val="27"/>
        </w:rPr>
        <w:t xml:space="preserve">6.  Indicative Timeline</w:t>
      </w:r>
    </w:p>
    <w:p>
      <w:pPr>
        <w:spacing w:after="120"/>
      </w:pPr>
      <w:r>
        <w:rPr>
          <w:rFonts w:ascii="Calibri" w:cs="Calibri" w:eastAsia="Calibri" w:hAnsi="Calibri"/>
          <w:color w:val="2E2A28"/>
          <w:sz w:val="21"/>
          <w:szCs w:val="21"/>
        </w:rPr>
        <w:t xml:space="preserve">The plan below is shown relative to go-live (T), with a six-week trading window. All locations launch together in the same window, so the same plan applies to every city in parallel. Exact calendar dates are fixed once malls are confirmed.</w:t>
      </w:r>
    </w:p>
    <w:tbl>
      <w:tblPr>
        <w:tblW w:type="dxa" w:w="9020"/>
        <w:tblBorders>
          <w:top w:val="single" w:color="D9CFC0" w:sz="2"/>
          <w:left w:val="single" w:color="D9CFC0" w:sz="2"/>
          <w:bottom w:val="single" w:color="D9CFC0" w:sz="2"/>
          <w:right w:val="single" w:color="D9CFC0" w:sz="2"/>
          <w:insideH w:val="single" w:color="D9CFC0" w:sz="2"/>
          <w:insideV w:val="single" w:color="D9CFC0" w:sz="2"/>
        </w:tblBorders>
      </w:tblPr>
      <w:tblGrid>
        <w:gridCol w:w="4600"/>
        <w:gridCol w:w="2600"/>
        <w:gridCol w:w="1820"/>
      </w:tblGrid>
      <w:tr>
        <w:tc>
          <w:tcPr>
            <w:tcW w:type="dxa" w:w="46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Activity</w:t>
            </w:r>
          </w:p>
        </w:tc>
        <w:tc>
          <w:tcPr>
            <w:tcW w:type="dxa" w:w="260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Timing</w:t>
            </w:r>
          </w:p>
        </w:tc>
        <w:tc>
          <w:tcPr>
            <w:tcW w:type="dxa" w:w="1820"/>
            <w:shd w:fill="4A343A"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Owner</w:t>
            </w:r>
          </w:p>
        </w:tc>
      </w:tr>
      <w:tr>
        <w:tc>
          <w:tcPr>
            <w:tcW w:type="dxa" w:w="46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Contract award and kick-off</w:t>
            </w:r>
          </w:p>
        </w:tc>
        <w:tc>
          <w:tcPr>
            <w:tcW w:type="dxa" w:w="26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minus 8 weeks</w:t>
            </w:r>
          </w:p>
        </w:tc>
        <w:tc>
          <w:tcPr>
            <w:tcW w:type="dxa" w:w="18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Doft + ProMarcom</w:t>
            </w:r>
          </w:p>
        </w:tc>
      </w:tr>
      <w:tr>
        <w:tc>
          <w:tcPr>
            <w:tcW w:type="dxa" w:w="46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Mall shortlisting and licence applications</w:t>
            </w:r>
          </w:p>
        </w:tc>
        <w:tc>
          <w:tcPr>
            <w:tcW w:type="dxa" w:w="26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minus 7 to 4 weeks</w:t>
            </w:r>
          </w:p>
        </w:tc>
        <w:tc>
          <w:tcPr>
            <w:tcW w:type="dxa" w:w="18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ProMarcom</w:t>
            </w:r>
          </w:p>
        </w:tc>
      </w:tr>
      <w:tr>
        <w:tc>
          <w:tcPr>
            <w:tcW w:type="dxa" w:w="46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Recruitment and background checks</w:t>
            </w:r>
          </w:p>
        </w:tc>
        <w:tc>
          <w:tcPr>
            <w:tcW w:type="dxa" w:w="26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minus 6 to 2 weeks</w:t>
            </w:r>
          </w:p>
        </w:tc>
        <w:tc>
          <w:tcPr>
            <w:tcW w:type="dxa" w:w="18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ProMarcom</w:t>
            </w:r>
          </w:p>
        </w:tc>
      </w:tr>
      <w:tr>
        <w:tc>
          <w:tcPr>
            <w:tcW w:type="dxa" w:w="46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Kiosk fabrication and fit-out</w:t>
            </w:r>
          </w:p>
        </w:tc>
        <w:tc>
          <w:tcPr>
            <w:tcW w:type="dxa" w:w="26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minus 3 to 1 weeks</w:t>
            </w:r>
          </w:p>
        </w:tc>
        <w:tc>
          <w:tcPr>
            <w:tcW w:type="dxa" w:w="18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ProMarcom</w:t>
            </w:r>
          </w:p>
        </w:tc>
      </w:tr>
      <w:tr>
        <w:tc>
          <w:tcPr>
            <w:tcW w:type="dxa" w:w="46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Doft product and sales training (1 day)</w:t>
            </w:r>
          </w:p>
        </w:tc>
        <w:tc>
          <w:tcPr>
            <w:tcW w:type="dxa" w:w="26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minus 2 weeks</w:t>
            </w:r>
          </w:p>
        </w:tc>
        <w:tc>
          <w:tcPr>
            <w:tcW w:type="dxa" w:w="18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Doft</w:t>
            </w:r>
          </w:p>
        </w:tc>
      </w:tr>
      <w:tr>
        <w:tc>
          <w:tcPr>
            <w:tcW w:type="dxa" w:w="46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Stock pickup from Ghaziabad and first fill</w:t>
            </w:r>
          </w:p>
        </w:tc>
        <w:tc>
          <w:tcPr>
            <w:tcW w:type="dxa" w:w="26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minus 1 week</w:t>
            </w:r>
          </w:p>
        </w:tc>
        <w:tc>
          <w:tcPr>
            <w:tcW w:type="dxa" w:w="18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ProMarcom</w:t>
            </w:r>
          </w:p>
        </w:tc>
      </w:tr>
      <w:tr>
        <w:tc>
          <w:tcPr>
            <w:tcW w:type="dxa" w:w="46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Go-live and daily operations (6 weeks)</w:t>
            </w:r>
          </w:p>
        </w:tc>
        <w:tc>
          <w:tcPr>
            <w:tcW w:type="dxa" w:w="26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to T plus 6 weeks</w:t>
            </w:r>
          </w:p>
        </w:tc>
        <w:tc>
          <w:tcPr>
            <w:tcW w:type="dxa" w:w="18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ProMarcom</w:t>
            </w:r>
          </w:p>
        </w:tc>
      </w:tr>
      <w:tr>
        <w:tc>
          <w:tcPr>
            <w:tcW w:type="dxa" w:w="4600"/>
            <w:shd w:fill="FFFFFF"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Dismantle, fixture and unsold-stock return</w:t>
            </w:r>
          </w:p>
        </w:tc>
        <w:tc>
          <w:tcPr>
            <w:tcW w:type="dxa" w:w="260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plus 6 to 7 weeks</w:t>
            </w:r>
          </w:p>
        </w:tc>
        <w:tc>
          <w:tcPr>
            <w:tcW w:type="dxa" w:w="1820"/>
            <w:shd w:fill="FFFFFF"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ProMarcom</w:t>
            </w:r>
          </w:p>
        </w:tc>
      </w:tr>
      <w:tr>
        <w:tc>
          <w:tcPr>
            <w:tcW w:type="dxa" w:w="4600"/>
            <w:shd w:fill="F3EEE6" w:color="auto" w:val="clear"/>
            <w:tcMar>
              <w:top w:type="dxa" w:w="70"/>
              <w:left w:type="dxa" w:w="110"/>
              <w:bottom w:type="dxa" w:w="70"/>
              <w:right w:type="dxa" w:w="110"/>
            </w:tcMar>
            <w:vAlign w:val="center"/>
          </w:tcPr>
          <w:p>
            <w:pPr>
              <w:spacing w:after="0"/>
            </w:pPr>
            <w:r>
              <w:rPr>
                <w:rFonts w:ascii="Calibri" w:cs="Calibri" w:eastAsia="Calibri" w:hAnsi="Calibri"/>
                <w:b/>
                <w:bCs/>
                <w:color w:val="2E2A28"/>
                <w:sz w:val="19"/>
                <w:szCs w:val="19"/>
              </w:rPr>
              <w:t xml:space="preserve">Final reconciliation and season review</w:t>
            </w:r>
          </w:p>
        </w:tc>
        <w:tc>
          <w:tcPr>
            <w:tcW w:type="dxa" w:w="260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T plus 7 weeks</w:t>
            </w:r>
          </w:p>
        </w:tc>
        <w:tc>
          <w:tcPr>
            <w:tcW w:type="dxa" w:w="1820"/>
            <w:shd w:fill="F3EEE6"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2E2A28"/>
                <w:sz w:val="19"/>
                <w:szCs w:val="19"/>
              </w:rPr>
              <w:t xml:space="preserve">Doft + ProMarcom</w:t>
            </w:r>
          </w:p>
        </w:tc>
      </w:tr>
    </w:tbl>
    <w:p>
      <w:pPr>
        <w:spacing w:after="120"/>
      </w:pPr>
      <w:r>
        <w:rPr>
          <w:rFonts w:ascii="Calibri" w:cs="Calibri" w:eastAsia="Calibri" w:hAnsi="Calibri"/>
          <w:i/>
          <w:iCs/>
          <w:color w:val="6B625C"/>
          <w:sz w:val="19"/>
          <w:szCs w:val="19"/>
        </w:rPr>
        <w:t xml:space="preserve">A live project timeline and per-city Gantt are maintained in the operations workbook and shared with your team.</w:t>
      </w:r>
    </w:p>
    <w:p>
      <w:pPr>
        <w:pBdr>
          <w:bottom w:val="single" w:color="C39A98" w:sz="8" w:space="4"/>
        </w:pBdr>
        <w:spacing w:after="120" w:before="300"/>
      </w:pPr>
      <w:r>
        <w:rPr>
          <w:rFonts w:ascii="Cambria" w:cs="Cambria" w:eastAsia="Cambria" w:hAnsi="Cambria"/>
          <w:b/>
          <w:bCs/>
          <w:color w:val="4A343A"/>
          <w:sz w:val="27"/>
          <w:szCs w:val="27"/>
        </w:rPr>
        <w:t xml:space="preserve">7.  Reporting &amp; Reviews</w:t>
      </w:r>
    </w:p>
    <w:p>
      <w:pPr>
        <w:spacing w:after="120"/>
      </w:pPr>
      <w:r>
        <w:rPr>
          <w:rFonts w:ascii="Calibri" w:cs="Calibri" w:eastAsia="Calibri" w:hAnsi="Calibri"/>
          <w:color w:val="2E2A28"/>
          <w:sz w:val="21"/>
          <w:szCs w:val="21"/>
        </w:rPr>
        <w:t xml:space="preserve">You will get a standard daily report per kiosk, pulled together by city. It covers:</w:t>
      </w:r>
    </w:p>
    <w:p>
      <w:pPr>
        <w:pStyle w:val="ListParagraph"/>
        <w:numPr>
          <w:ilvl w:val="0"/>
          <w:numId w:val="2"/>
        </w:numPr>
        <w:spacing w:after="60"/>
      </w:pPr>
      <w:r>
        <w:rPr>
          <w:rFonts w:ascii="Calibri" w:cs="Calibri" w:eastAsia="Calibri" w:hAnsi="Calibri"/>
          <w:color w:val="2E2A28"/>
          <w:sz w:val="21"/>
          <w:szCs w:val="21"/>
        </w:rPr>
        <w:t xml:space="preserve">Sales: units, gross, discounts, net, bills and average bill value</w:t>
      </w:r>
    </w:p>
    <w:p>
      <w:pPr>
        <w:pStyle w:val="ListParagraph"/>
        <w:numPr>
          <w:ilvl w:val="0"/>
          <w:numId w:val="2"/>
        </w:numPr>
        <w:spacing w:after="60"/>
      </w:pPr>
      <w:r>
        <w:rPr>
          <w:rFonts w:ascii="Calibri" w:cs="Calibri" w:eastAsia="Calibri" w:hAnsi="Calibri"/>
          <w:color w:val="2E2A28"/>
          <w:sz w:val="21"/>
          <w:szCs w:val="21"/>
        </w:rPr>
        <w:t xml:space="preserve">Footfall and conversion: walk-ins, engaged, bills and conversion rate</w:t>
      </w:r>
    </w:p>
    <w:p>
      <w:pPr>
        <w:pStyle w:val="ListParagraph"/>
        <w:numPr>
          <w:ilvl w:val="0"/>
          <w:numId w:val="2"/>
        </w:numPr>
        <w:spacing w:after="60"/>
      </w:pPr>
      <w:r>
        <w:rPr>
          <w:rFonts w:ascii="Calibri" w:cs="Calibri" w:eastAsia="Calibri" w:hAnsi="Calibri"/>
          <w:color w:val="2E2A28"/>
          <w:sz w:val="21"/>
          <w:szCs w:val="21"/>
        </w:rPr>
        <w:t xml:space="preserve">Stock and replenishment: opening, received, sold, closing and reorder flags</w:t>
      </w:r>
    </w:p>
    <w:p>
      <w:pPr>
        <w:pStyle w:val="ListParagraph"/>
        <w:numPr>
          <w:ilvl w:val="0"/>
          <w:numId w:val="2"/>
        </w:numPr>
        <w:spacing w:after="60"/>
      </w:pPr>
      <w:r>
        <w:rPr>
          <w:rFonts w:ascii="Calibri" w:cs="Calibri" w:eastAsia="Calibri" w:hAnsi="Calibri"/>
          <w:color w:val="2E2A28"/>
          <w:sz w:val="21"/>
          <w:szCs w:val="21"/>
        </w:rPr>
        <w:t xml:space="preserve">Attendance: present, absent and attendance rate</w:t>
      </w:r>
    </w:p>
    <w:p>
      <w:pPr>
        <w:pStyle w:val="ListParagraph"/>
        <w:numPr>
          <w:ilvl w:val="0"/>
          <w:numId w:val="2"/>
        </w:numPr>
        <w:spacing w:after="60"/>
      </w:pPr>
      <w:r>
        <w:rPr>
          <w:rFonts w:ascii="Calibri" w:cs="Calibri" w:eastAsia="Calibri" w:hAnsi="Calibri"/>
          <w:color w:val="2E2A28"/>
          <w:sz w:val="21"/>
          <w:szCs w:val="21"/>
        </w:rPr>
        <w:t xml:space="preserve">Customer feedback and any operational issues</w:t>
      </w:r>
    </w:p>
    <w:p>
      <w:pPr>
        <w:spacing w:after="120"/>
      </w:pPr>
      <w:r>
        <w:rPr>
          <w:rFonts w:ascii="Calibri" w:cs="Calibri" w:eastAsia="Calibri" w:hAnsi="Calibri"/>
          <w:color w:val="2E2A28"/>
          <w:sz w:val="21"/>
          <w:szCs w:val="21"/>
        </w:rPr>
        <w:t xml:space="preserve">Beyond the daily report, we will hold a weekly review call per city and a full reconciliation at the end of the season. A live operations workbook covering staffing, budget, timeline and trackers runs alongside the programme.</w:t>
      </w:r>
    </w:p>
    <w:p>
      <w:pPr>
        <w:pBdr>
          <w:bottom w:val="single" w:color="C39A98" w:sz="8" w:space="4"/>
        </w:pBdr>
        <w:spacing w:after="120" w:before="300"/>
      </w:pPr>
      <w:r>
        <w:rPr>
          <w:rFonts w:ascii="Cambria" w:cs="Cambria" w:eastAsia="Cambria" w:hAnsi="Cambria"/>
          <w:b/>
          <w:bCs/>
          <w:color w:val="4A343A"/>
          <w:sz w:val="27"/>
          <w:szCs w:val="27"/>
        </w:rPr>
        <w:t xml:space="preserve">8.  Our Commitments</w:t>
      </w:r>
    </w:p>
    <w:p>
      <w:pPr>
        <w:pStyle w:val="ListParagraph"/>
        <w:numPr>
          <w:ilvl w:val="0"/>
          <w:numId w:val="2"/>
        </w:numPr>
        <w:spacing w:after="60"/>
      </w:pPr>
      <w:r>
        <w:rPr>
          <w:rFonts w:ascii="Calibri" w:cs="Calibri" w:eastAsia="Calibri" w:hAnsi="Calibri"/>
          <w:color w:val="2E2A28"/>
          <w:sz w:val="21"/>
          <w:szCs w:val="21"/>
        </w:rPr>
        <w:t xml:space="preserve">Full attendance at your training, and equally trained staff on the floor at all times.</w:t>
      </w:r>
    </w:p>
    <w:p>
      <w:pPr>
        <w:pStyle w:val="ListParagraph"/>
        <w:numPr>
          <w:ilvl w:val="0"/>
          <w:numId w:val="2"/>
        </w:numPr>
        <w:spacing w:after="60"/>
      </w:pPr>
      <w:r>
        <w:rPr>
          <w:rFonts w:ascii="Calibri" w:cs="Calibri" w:eastAsia="Calibri" w:hAnsi="Calibri"/>
          <w:color w:val="2E2A28"/>
          <w:sz w:val="21"/>
          <w:szCs w:val="21"/>
        </w:rPr>
        <w:t xml:space="preserve">Same-day replacement of any absent or resigned staff, at no extra cost to you.</w:t>
      </w:r>
    </w:p>
    <w:p>
      <w:pPr>
        <w:pStyle w:val="ListParagraph"/>
        <w:numPr>
          <w:ilvl w:val="0"/>
          <w:numId w:val="2"/>
        </w:numPr>
        <w:spacing w:after="60"/>
      </w:pPr>
      <w:r>
        <w:rPr>
          <w:rFonts w:ascii="Calibri" w:cs="Calibri" w:eastAsia="Calibri" w:hAnsi="Calibri"/>
          <w:color w:val="2E2A28"/>
          <w:sz w:val="21"/>
          <w:szCs w:val="21"/>
        </w:rPr>
        <w:t xml:space="preserve">Uniforms kept washed, ironed and in good shape, and returned in good condition.</w:t>
      </w:r>
    </w:p>
    <w:p>
      <w:pPr>
        <w:pStyle w:val="ListParagraph"/>
        <w:numPr>
          <w:ilvl w:val="0"/>
          <w:numId w:val="2"/>
        </w:numPr>
        <w:spacing w:after="60"/>
      </w:pPr>
      <w:r>
        <w:rPr>
          <w:rFonts w:ascii="Calibri" w:cs="Calibri" w:eastAsia="Calibri" w:hAnsi="Calibri"/>
          <w:color w:val="2E2A28"/>
          <w:sz w:val="21"/>
          <w:szCs w:val="21"/>
        </w:rPr>
        <w:t xml:space="preserve">Compliance signed off before every go-live: licences, GST and e-invoicing, PF and ESIC, insurance, fire and electrical, and staff background checks.</w:t>
      </w:r>
    </w:p>
    <w:p>
      <w:pPr>
        <w:pStyle w:val="ListParagraph"/>
        <w:numPr>
          <w:ilvl w:val="0"/>
          <w:numId w:val="2"/>
        </w:numPr>
        <w:spacing w:after="60"/>
      </w:pPr>
      <w:r>
        <w:rPr>
          <w:rFonts w:ascii="Calibri" w:cs="Calibri" w:eastAsia="Calibri" w:hAnsi="Calibri"/>
          <w:color w:val="2E2A28"/>
          <w:sz w:val="21"/>
          <w:szCs w:val="21"/>
        </w:rPr>
        <w:t xml:space="preserve">The same service quality and brand standards across every city, even when several run at once.</w:t>
      </w:r>
    </w:p>
    <w:p>
      <w:pPr>
        <w:pBdr>
          <w:bottom w:val="single" w:color="C39A98" w:sz="8" w:space="4"/>
        </w:pBdr>
        <w:spacing w:after="120" w:before="300"/>
      </w:pPr>
      <w:r>
        <w:rPr>
          <w:rFonts w:ascii="Cambria" w:cs="Cambria" w:eastAsia="Cambria" w:hAnsi="Cambria"/>
          <w:b/>
          <w:bCs/>
          <w:color w:val="4A343A"/>
          <w:sz w:val="27"/>
          <w:szCs w:val="27"/>
        </w:rPr>
        <w:t xml:space="preserve">9.  What You Provide, and a Few Assumptions</w:t>
      </w:r>
    </w:p>
    <w:p>
      <w:pPr>
        <w:pStyle w:val="ListParagraph"/>
        <w:numPr>
          <w:ilvl w:val="0"/>
          <w:numId w:val="2"/>
        </w:numPr>
        <w:spacing w:after="60"/>
      </w:pPr>
      <w:r>
        <w:rPr>
          <w:rFonts w:ascii="Calibri" w:cs="Calibri" w:eastAsia="Calibri" w:hAnsi="Calibri"/>
          <w:color w:val="2E2A28"/>
          <w:sz w:val="21"/>
          <w:szCs w:val="21"/>
        </w:rPr>
        <w:t xml:space="preserve">You supply the stock, the kiosk design and kit, the furniture (unless we agree otherwise), the POS/EDC machines and the uniforms (returnable).</w:t>
      </w:r>
    </w:p>
    <w:p>
      <w:pPr>
        <w:pStyle w:val="ListParagraph"/>
        <w:numPr>
          <w:ilvl w:val="0"/>
          <w:numId w:val="2"/>
        </w:numPr>
        <w:spacing w:after="60"/>
      </w:pPr>
      <w:r>
        <w:rPr>
          <w:rFonts w:ascii="Calibri" w:cs="Calibri" w:eastAsia="Calibri" w:hAnsi="Calibri"/>
          <w:color w:val="2E2A28"/>
          <w:sz w:val="21"/>
          <w:szCs w:val="21"/>
        </w:rPr>
        <w:t xml:space="preserve">Stock is picked up from your Ghaziabad warehouse. We take care of insurance in transit and safe handling.</w:t>
      </w:r>
    </w:p>
    <w:p>
      <w:pPr>
        <w:pStyle w:val="ListParagraph"/>
        <w:numPr>
          <w:ilvl w:val="0"/>
          <w:numId w:val="2"/>
        </w:numPr>
        <w:spacing w:after="60"/>
      </w:pPr>
      <w:r>
        <w:rPr>
          <w:rFonts w:ascii="Calibri" w:cs="Calibri" w:eastAsia="Calibri" w:hAnsi="Calibri"/>
          <w:color w:val="2E2A28"/>
          <w:sz w:val="21"/>
          <w:szCs w:val="21"/>
        </w:rPr>
        <w:t xml:space="preserve">If we pay any mall licence or space fees, we will bill them as a pass-through unless we agree otherwise. We will confirm this mall by mall.</w:t>
      </w:r>
    </w:p>
    <w:p>
      <w:pPr>
        <w:pStyle w:val="ListParagraph"/>
        <w:numPr>
          <w:ilvl w:val="0"/>
          <w:numId w:val="2"/>
        </w:numPr>
        <w:spacing w:after="60"/>
      </w:pPr>
      <w:r>
        <w:rPr>
          <w:rFonts w:ascii="Calibri" w:cs="Calibri" w:eastAsia="Calibri" w:hAnsi="Calibri"/>
          <w:color w:val="2E2A28"/>
          <w:sz w:val="21"/>
          <w:szCs w:val="21"/>
        </w:rPr>
        <w:t xml:space="preserve">We will finalise the cities, malls, kiosk counts and go-live dates with you before each season.</w:t>
      </w:r>
    </w:p>
    <w:p>
      <w:pPr>
        <w:pBdr>
          <w:bottom w:val="single" w:color="C39A98" w:sz="8" w:space="4"/>
        </w:pBdr>
        <w:spacing w:after="120" w:before="300"/>
      </w:pPr>
      <w:r>
        <w:rPr>
          <w:rFonts w:ascii="Cambria" w:cs="Cambria" w:eastAsia="Cambria" w:hAnsi="Cambria"/>
          <w:b/>
          <w:bCs/>
          <w:color w:val="4A343A"/>
          <w:sz w:val="27"/>
          <w:szCs w:val="27"/>
        </w:rPr>
        <w:t xml:space="preserve">10.  Next Steps</w:t>
      </w:r>
    </w:p>
    <w:p>
      <w:pPr>
        <w:pStyle w:val="ListParagraph"/>
        <w:numPr>
          <w:ilvl w:val="0"/>
          <w:numId w:val="3"/>
        </w:numPr>
        <w:spacing w:after="60"/>
      </w:pPr>
      <w:r>
        <w:rPr>
          <w:rFonts w:ascii="Calibri" w:cs="Calibri" w:eastAsia="Calibri" w:hAnsi="Calibri"/>
          <w:color w:val="2E2A28"/>
          <w:sz w:val="21"/>
          <w:szCs w:val="21"/>
        </w:rPr>
        <w:t xml:space="preserve">You confirm the final city list, so we can lock premium mall slots early.</w:t>
      </w:r>
    </w:p>
    <w:p>
      <w:pPr>
        <w:pStyle w:val="ListParagraph"/>
        <w:numPr>
          <w:ilvl w:val="0"/>
          <w:numId w:val="3"/>
        </w:numPr>
        <w:spacing w:after="60"/>
      </w:pPr>
      <w:r>
        <w:rPr>
          <w:rFonts w:ascii="Calibri" w:cs="Calibri" w:eastAsia="Calibri" w:hAnsi="Calibri"/>
          <w:color w:val="2E2A28"/>
          <w:sz w:val="21"/>
          <w:szCs w:val="21"/>
        </w:rPr>
        <w:t xml:space="preserve">We shortlist specific malls with availability, footfall and licence cost.</w:t>
      </w:r>
    </w:p>
    <w:p>
      <w:pPr>
        <w:pStyle w:val="ListParagraph"/>
        <w:numPr>
          <w:ilvl w:val="0"/>
          <w:numId w:val="3"/>
        </w:numPr>
        <w:spacing w:after="60"/>
      </w:pPr>
      <w:r>
        <w:rPr>
          <w:rFonts w:ascii="Calibri" w:cs="Calibri" w:eastAsia="Calibri" w:hAnsi="Calibri"/>
          <w:color w:val="2E2A28"/>
          <w:sz w:val="21"/>
          <w:szCs w:val="21"/>
        </w:rPr>
        <w:t xml:space="preserve">We agree the kiosk count per city, the go-live dates and the training schedule.</w:t>
      </w:r>
    </w:p>
    <w:p>
      <w:pPr>
        <w:pStyle w:val="ListParagraph"/>
        <w:numPr>
          <w:ilvl w:val="0"/>
          <w:numId w:val="3"/>
        </w:numPr>
        <w:spacing w:after="60"/>
      </w:pPr>
      <w:r>
        <w:rPr>
          <w:rFonts w:ascii="Calibri" w:cs="Calibri" w:eastAsia="Calibri" w:hAnsi="Calibri"/>
          <w:color w:val="2E2A28"/>
          <w:sz w:val="21"/>
          <w:szCs w:val="21"/>
        </w:rPr>
        <w:t xml:space="preserve">We finalise commercials in a separate proposal and sign the agreement.</w:t>
      </w:r>
    </w:p>
    <w:p>
      <w:pPr>
        <w:spacing w:before="240"/>
      </w:pPr>
      <w:r>
        <w:rPr>
          <w:rFonts w:ascii="Calibri" w:cs="Calibri" w:eastAsia="Calibri" w:hAnsi="Calibri"/>
          <w:i/>
          <w:iCs/>
          <w:color w:val="6B625C"/>
          <w:sz w:val="17"/>
          <w:szCs w:val="17"/>
        </w:rPr>
        <w:t xml:space="preserve">Prepared by ProMarcom Inc. (EventsActive). City and mall suggestions are indicative and will be confirmed with you.</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0" w:sz="4" w:space="6"/>
      </w:pBdr>
      <w:jc w:val="center"/>
    </w:pPr>
    <w:r>
      <w:rPr>
        <w:rFonts w:ascii="Calibri" w:cs="Calibri" w:eastAsia="Calibri" w:hAnsi="Calibri"/>
        <w:color w:val="6B625C"/>
        <w:sz w:val="15"/>
        <w:szCs w:val="15"/>
      </w:rPr>
      <w:t xml:space="preserve">Doft Candles — Understanding &amp; Key Deliverables   ·   ProMarcom Inc.   ·   Page </w:t>
    </w:r>
    <w:r>
      <w:rPr>
        <w:rFonts w:ascii="Calibri" w:cs="Calibri" w:eastAsia="Calibri" w:hAnsi="Calibri"/>
        <w:color w:val="6B625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7c7ddd0b8a0fe65d186d4f90b8b493a505c404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Doft Candles — Understanding &amp; Key Deliverables</dc:title>
  <dc:creator>ProMarcom Inc.</dc:creator>
  <cp:lastModifiedBy>Un-named</cp:lastModifiedBy>
  <cp:revision>1</cp:revision>
  <dcterms:created xsi:type="dcterms:W3CDTF">2026-07-30T11:28:49.050Z</dcterms:created>
  <dcterms:modified xsi:type="dcterms:W3CDTF">2026-07-30T11:28:49.051Z</dcterms:modified>
</cp:coreProperties>
</file>

<file path=docProps/custom.xml><?xml version="1.0" encoding="utf-8"?>
<Properties xmlns="http://schemas.openxmlformats.org/officeDocument/2006/custom-properties" xmlns:vt="http://schemas.openxmlformats.org/officeDocument/2006/docPropsVTypes"/>
</file>