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CONFIDENTIAL INVESTMENT OPPORTUNITY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Series A  |  Cross-Border Premium Gifting (Consumer Tech)  |  United Arab Emirates</w:t>
      </w:r>
    </w:p>
    <w:p>
      <w:pPr>
        <w:pBdr>
          <w:bottom w:val="single" w:color="999999" w:sz="6" w:space="1"/>
        </w:pBdr>
        <w:spacing w:after="9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40" w:line="23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Snapshot:  </w:t>
      </w:r>
      <w:r>
        <w:rPr>
          <w:rFonts w:ascii="Calibri" w:cs="Calibri" w:eastAsia="Calibri" w:hAnsi="Calibri"/>
          <w:sz w:val="20"/>
          <w:szCs w:val="20"/>
        </w:rPr>
        <w:t xml:space="preserve">Sector: Consumer tech / e-commerce (premium gifting)   •   HQ: Dubai, UAE   •   Founded: 2025   •   Stage: Series A (in progress)</w:t>
      </w:r>
    </w:p>
    <w:p>
      <w:pPr>
        <w:spacing w:after="36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THE OPPORTUNITY</w:t>
      </w:r>
    </w:p>
    <w:p>
      <w:pPr>
        <w:spacing w:after="50" w:line="23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Dubai-headquartered, technology-led premium gifting platform pioneering “Gifting 3.0” — expert curation, AI-driven personalisation and rapid fulfilment. Same-day and 60-minute express delivery of curated flowers, luxury hampers and personalised gifts across the UAE (Dubai, Abu Dhabi, Sharjah, Ajman), with cross-border reach into 50+ countries.</w:t>
      </w:r>
    </w:p>
    <w:p>
      <w:pPr>
        <w:spacing w:after="36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TRACTION &amp; MARKET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sz w:val="20"/>
          <w:szCs w:val="20"/>
        </w:rPr>
        <w:t xml:space="preserve">Commercially launched in the UAE in early 2025, with rapid early traction.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sz w:val="20"/>
          <w:szCs w:val="20"/>
        </w:rPr>
        <w:t xml:space="preserve">Cross-border fulfilment to customers in 50+ countries within the first year of operations.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sz w:val="20"/>
          <w:szCs w:val="20"/>
        </w:rPr>
        <w:t xml:space="preserve">Operates in a large, fragmented gifting market where incumbents are weak on trust, speed and personalisation.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sz w:val="20"/>
          <w:szCs w:val="20"/>
        </w:rPr>
        <w:t xml:space="preserve">Capital-efficient, technology-enabled curation and fulfilment model.</w:t>
      </w:r>
    </w:p>
    <w:p>
      <w:pPr>
        <w:spacing w:after="36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FOUNDERS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Co-Founder &amp; CEO: </w:t>
      </w:r>
      <w:r>
        <w:rPr>
          <w:rFonts w:ascii="Calibri" w:cs="Calibri" w:eastAsia="Calibri" w:hAnsi="Calibri"/>
          <w:sz w:val="20"/>
          <w:szCs w:val="20"/>
        </w:rPr>
        <w:t xml:space="preserve">London Business School Sloan Fellow (Strategy &amp; Leadership) and MBA from a leading international business school. 15+ years across high-growth consumer and mobility businesses, including senior roles at a global ride-hailing major and a global hospitality-tech company, and leadership at an established UAE gifting and flowers retailer. Deep expertise in international expansion, supply chain and operations.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Co-Founder &amp; CPO/CFO: </w:t>
      </w:r>
      <w:r>
        <w:rPr>
          <w:rFonts w:ascii="Calibri" w:cs="Calibri" w:eastAsia="Calibri" w:hAnsi="Calibri"/>
          <w:sz w:val="20"/>
          <w:szCs w:val="20"/>
        </w:rPr>
        <w:t xml:space="preserve">Alumnus of a top-tier Indian business school (IIM). 10+ years in strategy, management consulting and programme management, including VP Strategy at a consumer-delivery startup. Also an active angel investor.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Proven partnership: </w:t>
      </w:r>
      <w:r>
        <w:rPr>
          <w:rFonts w:ascii="Calibri" w:cs="Calibri" w:eastAsia="Calibri" w:hAnsi="Calibri"/>
          <w:sz w:val="20"/>
          <w:szCs w:val="20"/>
        </w:rPr>
        <w:t xml:space="preserve">the two founders previously built and scaled together at a global ride-hailing company, an established working relationship de-risking execution.</w:t>
      </w:r>
    </w:p>
    <w:p>
      <w:pPr>
        <w:spacing w:after="36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FUNDING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Last round: </w:t>
      </w:r>
      <w:r>
        <w:rPr>
          <w:rFonts w:ascii="Calibri" w:cs="Calibri" w:eastAsia="Calibri" w:hAnsi="Calibri"/>
          <w:sz w:val="20"/>
          <w:szCs w:val="20"/>
        </w:rPr>
        <w:t xml:space="preserve">Series A (in progress), led by a marquee Indian institutional venture fund.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Raised to date: </w:t>
      </w:r>
      <w:r>
        <w:rPr>
          <w:rFonts w:ascii="Calibri" w:cs="Calibri" w:eastAsia="Calibri" w:hAnsi="Calibri"/>
          <w:sz w:val="20"/>
          <w:szCs w:val="20"/>
        </w:rPr>
        <w:t xml:space="preserve">~US$3.3M (₹30 Cr), including a recent ~US$1.6M (₹15 Cr) tranche from the lead investor.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 raise: </w:t>
      </w:r>
      <w:r>
        <w:rPr>
          <w:rFonts w:ascii="Calibri" w:cs="Calibri" w:eastAsia="Calibri" w:hAnsi="Calibri"/>
          <w:sz w:val="20"/>
          <w:szCs w:val="20"/>
        </w:rPr>
        <w:t xml:space="preserve">targeting a total Series A of US$6–8M, with room for a lead / anchor investor to shape and potentially upsize the round.</w:t>
      </w:r>
    </w:p>
    <w:p>
      <w:pPr>
        <w:spacing w:after="36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WHY IT IS INTERESTING</w:t>
      </w:r>
    </w:p>
    <w:p>
      <w:pPr>
        <w:pStyle w:val="ListParagraph"/>
        <w:numPr>
          <w:ilvl w:val="0"/>
          <w:numId w:val="1"/>
        </w:numPr>
        <w:spacing w:after="28" w:line="230"/>
      </w:pPr>
      <w:r>
        <w:rPr>
          <w:rFonts w:ascii="Calibri" w:cs="Calibri" w:eastAsia="Calibri" w:hAnsi="Calibri"/>
          <w:sz w:val="20"/>
          <w:szCs w:val="20"/>
        </w:rPr>
        <w:t xml:space="preserve">Experienced, repeat founding team in a large, underserved category, with early cross-border traction and a capital-efficient model, already backed by a credible institutional investor.</w:t>
      </w:r>
    </w:p>
    <w:p>
      <w:pPr>
        <w:spacing w:after="36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NEXT STEPS</w:t>
      </w:r>
    </w:p>
    <w:p>
      <w:pPr>
        <w:spacing w:after="60" w:line="23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Company name, full profile, detailed metrics and data-room access are available on expression of interest, subject to a mutual engagement. All enquiries and introductions are handled exclusively through the Advisor.</w:t>
      </w:r>
    </w:p>
    <w:p>
      <w:pPr>
        <w:pBdr>
          <w:bottom w:val="single" w:color="999999" w:sz="6" w:space="1"/>
        </w:pBdr>
        <w:spacing w:after="9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r>
        <w:rPr>
          <w:rFonts w:ascii="Calibri" w:cs="Calibri" w:eastAsia="Calibri" w:hAnsi="Calibri"/>
          <w:color w:val="595959"/>
          <w:sz w:val="18"/>
          <w:szCs w:val="18"/>
        </w:rPr>
        <w:t xml:space="preserve">Advisor: Arora Chawla Goel &amp; Co  |  [Name]  |  [Email]  |  [Phone]</w:t>
      </w:r>
    </w:p>
    <w:p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Strictly private &amp; confidential. Prepared for discussion only; not an offer of securities or investment advice.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Confidential Investment Opportunity - Series A</dc:title>
  <dc:creator>Un-named</dc:creator>
  <cp:lastModifiedBy>Un-named</cp:lastModifiedBy>
  <cp:revision>1</cp:revision>
  <dcterms:created xsi:type="dcterms:W3CDTF">2026-07-27T16:32:10.216Z</dcterms:created>
  <dcterms:modified xsi:type="dcterms:W3CDTF">2026-07-27T16:32:10.216Z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