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GTAA Factor Portfolio — Project 2 Submission Report</w:t>
      </w:r>
    </w:p>
    <w:p>
      <w:r>
        <w:rPr>
          <w:b/>
        </w:rPr>
        <w:t>Columbia University · MAFN · MATH 5380 · Spring 2026</w:t>
      </w:r>
    </w:p>
    <w:p>
      <w:r>
        <w:t xml:space="preserve">This report summarizes the inputs, methodology, and results for our long/short factor-based GTAA portfolio. The </w:t>
      </w:r>
      <w:r>
        <w:rPr>
          <w:b/>
        </w:rPr>
        <w:t>submitted strategy</w:t>
      </w:r>
      <w:r>
        <w:t xml:space="preserve"> is the expanded six-sleeve implementation organized into two economic factor families: </w:t>
      </w:r>
      <w:r>
        <w:rPr>
          <w:b/>
        </w:rPr>
        <w:t>Cross-Asset Momentum</w:t>
      </w:r>
      <w:r>
        <w:t xml:space="preserve"> and </w:t>
      </w:r>
      <w:r>
        <w:rPr>
          <w:b/>
        </w:rPr>
        <w:t>Cross-Asset Carry</w:t>
      </w:r>
      <w:r>
        <w:t>. The original three-sleeve portfolio is retained as a benchmark, but the notebook-first submission package centers on the expanded design.</w:t>
      </w:r>
    </w:p>
    <w:p>
      <w:r>
        <w:rPr>
          <w:b/>
        </w:rPr>
        <w:t>Submission format.</w:t>
      </w:r>
      <w:r>
        <w:t xml:space="preserve"> Following the teaching-team clarification, our final package is </w:t>
      </w:r>
      <w:r>
        <w:rPr>
          <w:b/>
        </w:rPr>
        <w:t>notebook-first</w:t>
      </w:r>
      <w:r>
        <w:t xml:space="preserve"> rather than Excel-first. All required charts are embedded in </w:t>
      </w:r>
      <w:hyperlink r:id="rId9">
        <w:r>
          <w:rPr>
            <w:color w:val="0563C1"/>
            <w:u w:val="single"/>
          </w:rPr>
          <w:t>notebooks/FINAL_SUBMISSION.ipynb</w:t>
        </w:r>
      </w:hyperlink>
      <w:r>
        <w:t xml:space="preserve">, and the dedicated audit notebook </w:t>
      </w:r>
      <w:hyperlink r:id="rId10">
        <w:r>
          <w:rPr>
            <w:color w:val="0563C1"/>
            <w:u w:val="single"/>
          </w:rPr>
          <w:t>notebooks/09_no_lookahead_verification.ipynb</w:t>
        </w:r>
      </w:hyperlink>
      <w:r>
        <w:t xml:space="preserve"> documents the no-look-ahead checks.</w:t>
      </w:r>
    </w:p>
    <w:p>
      <w:r>
        <w:rPr>
          <w:b/>
        </w:rPr>
        <w:t>Reporting convention.</w:t>
      </w:r>
      <w:r>
        <w:t xml:space="preserve"> In line with the project specification, annualized return is the </w:t>
      </w:r>
      <w:r>
        <w:rPr>
          <w:b/>
        </w:rPr>
        <w:t>arithmetic annualized simple return</w:t>
      </w:r>
      <w:r>
        <w:t xml:space="preserve"> </w:t>
      </w:r>
      <w:r>
        <w:rPr>
          <w:rFonts w:ascii="Menlo" w:hAnsi="Menlo"/>
          <w:sz w:val="20"/>
        </w:rPr>
        <w:t>12 × average monthly simple return</w:t>
      </w:r>
      <w:r>
        <w:t xml:space="preserve">, annualized volatility is the population monthly standard deviation times </w:t>
      </w:r>
      <w:r>
        <w:rPr>
          <w:rFonts w:ascii="Menlo" w:hAnsi="Menlo"/>
          <w:sz w:val="20"/>
        </w:rPr>
        <w:t>sqrt(12)</w:t>
      </w:r>
      <w:r>
        <w:t>, and the information ratio is the ratio of those two quantities.</w:t>
      </w:r>
    </w:p>
    <w:p>
      <w:pPr>
        <w:pStyle w:val="Heading2"/>
      </w:pPr>
      <w:r>
        <w:t>1. Inputs and Investment Universe</w:t>
      </w:r>
    </w:p>
    <w:p>
      <w:r>
        <w:t xml:space="preserve">The final implementation uses monthly data and monthly portfolio updates. The expanded live sample runs from </w:t>
      </w:r>
      <w:r>
        <w:rPr>
          <w:b/>
        </w:rPr>
        <w:t>December 2005 to November 2025</w:t>
      </w:r>
      <w:r>
        <w:t xml:space="preserve"> after applying the required signal and covariance lookbacks.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r>
            <w:r>
              <w:rPr>
                <w:b/>
              </w:rPr>
              <w:t>Sleeve</w:t>
            </w:r>
          </w:p>
        </w:tc>
        <w:tc>
          <w:tcPr>
            <w:tcW w:type="dxa" w:w="2592"/>
          </w:tcPr>
          <w:p>
            <w:r>
              <w:rPr>
                <w:b/>
              </w:rPr>
            </w:r>
            <w:r>
              <w:rPr>
                <w:b/>
              </w:rPr>
              <w:t>Assets</w:t>
            </w:r>
          </w:p>
        </w:tc>
        <w:tc>
          <w:tcPr>
            <w:tcW w:type="dxa" w:w="2592"/>
          </w:tcPr>
          <w:p>
            <w:r>
              <w:rPr>
                <w:b/>
              </w:rPr>
            </w:r>
            <w:r>
              <w:rPr>
                <w:b/>
              </w:rPr>
              <w:t>Signal</w:t>
            </w:r>
          </w:p>
        </w:tc>
        <w:tc>
          <w:tcPr>
            <w:tcW w:type="dxa" w:w="2592"/>
          </w:tcPr>
          <w:p>
            <w:r>
              <w:rPr>
                <w:b/>
              </w:rPr>
            </w:r>
            <w:r>
              <w:rPr>
                <w:b/>
              </w:rPr>
              <w:t>Source</w:t>
            </w:r>
          </w:p>
        </w:tc>
      </w:tr>
      <w:tr>
        <w:tc>
          <w:tcPr>
            <w:tcW w:type="dxa" w:w="2592"/>
          </w:tcPr>
          <w:p>
            <w:r/>
            <w:r>
              <w:t>Equity Momentum</w:t>
            </w:r>
          </w:p>
        </w:tc>
        <w:tc>
          <w:tcPr>
            <w:tcW w:type="dxa" w:w="2592"/>
          </w:tcPr>
          <w:p>
            <w:r/>
            <w:r>
              <w:t>10 country ETFs</w:t>
            </w:r>
          </w:p>
        </w:tc>
        <w:tc>
          <w:tcPr>
            <w:tcW w:type="dxa" w:w="2592"/>
          </w:tcPr>
          <w:p>
            <w:r/>
            <w:r>
              <w:t>12-1 momentum from returns</w:t>
            </w:r>
          </w:p>
        </w:tc>
        <w:tc>
          <w:tcPr>
            <w:tcW w:type="dxa" w:w="2592"/>
          </w:tcPr>
          <w:p>
            <w:r/>
            <w:r>
              <w:t>provided country-equity series / Yahoo-aligned ETF returns</w:t>
            </w:r>
          </w:p>
        </w:tc>
      </w:tr>
      <w:tr>
        <w:tc>
          <w:tcPr>
            <w:tcW w:type="dxa" w:w="2592"/>
          </w:tcPr>
          <w:p>
            <w:r/>
            <w:r>
              <w:t>Commodity Momentum</w:t>
            </w:r>
          </w:p>
        </w:tc>
        <w:tc>
          <w:tcPr>
            <w:tcW w:type="dxa" w:w="2592"/>
          </w:tcPr>
          <w:p>
            <w:r/>
            <w:r>
              <w:t>12 commodity ETFs</w:t>
            </w:r>
          </w:p>
        </w:tc>
        <w:tc>
          <w:tcPr>
            <w:tcW w:type="dxa" w:w="2592"/>
          </w:tcPr>
          <w:p>
            <w:r/>
            <w:r>
              <w:t>12-1 momentum from prices</w:t>
            </w:r>
          </w:p>
        </w:tc>
        <w:tc>
          <w:tcPr>
            <w:tcW w:type="dxa" w:w="2592"/>
          </w:tcPr>
          <w:p>
            <w:r/>
            <w:r>
              <w:t>Yahoo Finance</w:t>
            </w:r>
          </w:p>
        </w:tc>
      </w:tr>
      <w:tr>
        <w:tc>
          <w:tcPr>
            <w:tcW w:type="dxa" w:w="2592"/>
          </w:tcPr>
          <w:p>
            <w:r/>
            <w:r>
              <w:t>Fixed-Income Momentum</w:t>
            </w:r>
          </w:p>
        </w:tc>
        <w:tc>
          <w:tcPr>
            <w:tcW w:type="dxa" w:w="2592"/>
          </w:tcPr>
          <w:p>
            <w:r/>
            <w:r>
              <w:t>10 bond ETFs</w:t>
            </w:r>
          </w:p>
        </w:tc>
        <w:tc>
          <w:tcPr>
            <w:tcW w:type="dxa" w:w="2592"/>
          </w:tcPr>
          <w:p>
            <w:r/>
            <w:r>
              <w:t>12-1 momentum from returns</w:t>
            </w:r>
          </w:p>
        </w:tc>
        <w:tc>
          <w:tcPr>
            <w:tcW w:type="dxa" w:w="2592"/>
          </w:tcPr>
          <w:p>
            <w:r/>
            <w:r>
              <w:t>Yahoo Finance</w:t>
            </w:r>
          </w:p>
        </w:tc>
      </w:tr>
      <w:tr>
        <w:tc>
          <w:tcPr>
            <w:tcW w:type="dxa" w:w="2592"/>
          </w:tcPr>
          <w:p>
            <w:r/>
            <w:r>
              <w:t>FX Momentum</w:t>
            </w:r>
          </w:p>
        </w:tc>
        <w:tc>
          <w:tcPr>
            <w:tcW w:type="dxa" w:w="2592"/>
          </w:tcPr>
          <w:p>
            <w:r/>
            <w:r>
              <w:t>6 currency ETFs</w:t>
            </w:r>
          </w:p>
        </w:tc>
        <w:tc>
          <w:tcPr>
            <w:tcW w:type="dxa" w:w="2592"/>
          </w:tcPr>
          <w:p>
            <w:r/>
            <w:r>
              <w:t>12-1 momentum from prices</w:t>
            </w:r>
          </w:p>
        </w:tc>
        <w:tc>
          <w:tcPr>
            <w:tcW w:type="dxa" w:w="2592"/>
          </w:tcPr>
          <w:p>
            <w:r/>
            <w:r>
              <w:t>Yahoo Finance</w:t>
            </w:r>
          </w:p>
        </w:tc>
      </w:tr>
      <w:tr>
        <w:tc>
          <w:tcPr>
            <w:tcW w:type="dxa" w:w="2592"/>
          </w:tcPr>
          <w:p>
            <w:r/>
            <w:r>
              <w:t>Fixed-Income Carry</w:t>
            </w:r>
          </w:p>
        </w:tc>
        <w:tc>
          <w:tcPr>
            <w:tcW w:type="dxa" w:w="2592"/>
          </w:tcPr>
          <w:p>
            <w:r/>
            <w:r>
              <w:t>10 bond ETFs</w:t>
            </w:r>
          </w:p>
        </w:tc>
        <w:tc>
          <w:tcPr>
            <w:tcW w:type="dxa" w:w="2592"/>
          </w:tcPr>
          <w:p>
            <w:r/>
            <w:r>
              <w:t>yield-proxy carry</w:t>
            </w:r>
          </w:p>
        </w:tc>
        <w:tc>
          <w:tcPr>
            <w:tcW w:type="dxa" w:w="2592"/>
          </w:tcPr>
          <w:p>
            <w:r/>
            <w:r>
              <w:t>FRED + ETF return panel</w:t>
            </w:r>
          </w:p>
        </w:tc>
      </w:tr>
      <w:tr>
        <w:tc>
          <w:tcPr>
            <w:tcW w:type="dxa" w:w="2592"/>
          </w:tcPr>
          <w:p>
            <w:r/>
            <w:r>
              <w:t>FX Carry</w:t>
            </w:r>
          </w:p>
        </w:tc>
        <w:tc>
          <w:tcPr>
            <w:tcW w:type="dxa" w:w="2592"/>
          </w:tcPr>
          <w:p>
            <w:r/>
            <w:r>
              <w:t>6 currency ETFs</w:t>
            </w:r>
          </w:p>
        </w:tc>
        <w:tc>
          <w:tcPr>
            <w:tcW w:type="dxa" w:w="2592"/>
          </w:tcPr>
          <w:p>
            <w:r/>
            <w:r>
              <w:t>foreign 3M rate minus USD 3M rate</w:t>
            </w:r>
          </w:p>
        </w:tc>
        <w:tc>
          <w:tcPr>
            <w:tcW w:type="dxa" w:w="2592"/>
          </w:tcPr>
          <w:p>
            <w:r/>
            <w:r>
              <w:t>FRED + FX ETF return panel</w:t>
            </w:r>
          </w:p>
        </w:tc>
      </w:tr>
    </w:tbl>
    <w:p>
      <w:r>
        <w:t xml:space="preserve">The final universe therefore spans </w:t>
      </w:r>
      <w:r>
        <w:rPr>
          <w:b/>
        </w:rPr>
        <w:t>equities, commodities, fixed income, and currencies</w:t>
      </w:r>
      <w:r>
        <w:t>, making the portfolio a genuine cross-asset GTAA process rather than a narrow equity-bond extension.</w:t>
      </w:r>
    </w:p>
    <w:p>
      <w:r>
        <w:t xml:space="preserve">Data loading, cleaning, and alignment are documented directly in </w:t>
      </w:r>
      <w:hyperlink r:id="rId9">
        <w:r>
          <w:rPr>
            <w:color w:val="0563C1"/>
            <w:u w:val="single"/>
          </w:rPr>
          <w:t>notebooks/FINAL_SUBMISSION.ipynb</w:t>
        </w:r>
      </w:hyperlink>
      <w:r>
        <w:t>, including date parsing, numeric coercion, missing-value treatment, and the partial-universe alignment logic used by the covariance and volatility-scaling steps.</w:t>
      </w:r>
    </w:p>
    <w:p>
      <w:pPr>
        <w:pStyle w:val="Heading2"/>
      </w:pPr>
      <w:r>
        <w:t>2. Factors and Portfolio Construction</w:t>
      </w:r>
    </w:p>
    <w:p>
      <w:pPr>
        <w:pStyle w:val="Heading3"/>
      </w:pPr>
      <w:r>
        <w:t>2.1 Factor-family interpretation</w:t>
      </w:r>
    </w:p>
    <w:p>
      <w:r>
        <w:t xml:space="preserve">The assignment requires at least two factors and limits the use of momentum/value-style examples. Our implementation is organized into </w:t>
      </w:r>
      <w:r>
        <w:rPr>
          <w:b/>
        </w:rPr>
        <w:t>two economic factor families</w:t>
      </w:r>
      <w:r>
        <w:t>:</w:t>
      </w:r>
    </w:p>
    <w:p>
      <w:pPr>
        <w:pStyle w:val="ListBullet"/>
      </w:pPr>
      <w:r>
        <w:rPr>
          <w:b/>
        </w:rPr>
        <w:t>Cross-Asset Momentum</w:t>
      </w:r>
    </w:p>
    <w:p>
      <w:pPr>
        <w:pStyle w:val="ListBullet"/>
      </w:pPr>
      <w:r>
        <w:rPr>
          <w:b/>
        </w:rPr>
        <w:t>Cross-Asset Carry</w:t>
      </w:r>
    </w:p>
    <w:p>
      <w:r>
        <w:t xml:space="preserve">The multiple momentum sleeves in the final implementation are sleeve-level expressions of the </w:t>
      </w:r>
      <w:r>
        <w:rPr>
          <w:b/>
        </w:rPr>
        <w:t>same momentum family</w:t>
      </w:r>
      <w:r>
        <w:t xml:space="preserve">, not separate unrelated factor types. This preserves a single momentum factor in the assignment sense. The teaching team confirmed our original momentum-plus-carry interpretation on </w:t>
      </w:r>
      <w:r>
        <w:rPr>
          <w:b/>
        </w:rPr>
        <w:t>May 5, 2026</w:t>
      </w:r>
      <w:r>
        <w:t>, and the expanded version keeps that same two-family logic while broadening the investable sleeves.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r>
            <w:r>
              <w:rPr>
                <w:b/>
              </w:rPr>
              <w:t>Factor family</w:t>
            </w:r>
          </w:p>
        </w:tc>
        <w:tc>
          <w:tcPr>
            <w:tcW w:type="dxa" w:w="3456"/>
          </w:tcPr>
          <w:p>
            <w:r>
              <w:rPr>
                <w:b/>
              </w:rPr>
            </w:r>
            <w:r>
              <w:rPr>
                <w:b/>
              </w:rPr>
              <w:t>Sleeve implementation</w:t>
            </w:r>
          </w:p>
        </w:tc>
        <w:tc>
          <w:tcPr>
            <w:tcW w:type="dxa" w:w="3456"/>
          </w:tcPr>
          <w:p>
            <w:r>
              <w:rPr>
                <w:b/>
              </w:rPr>
            </w:r>
            <w:r>
              <w:rPr>
                <w:b/>
              </w:rPr>
              <w:t>Construction</w:t>
            </w:r>
          </w:p>
        </w:tc>
      </w:tr>
      <w:tr>
        <w:tc>
          <w:tcPr>
            <w:tcW w:type="dxa" w:w="3456"/>
          </w:tcPr>
          <w:p>
            <w:r/>
            <w:r>
              <w:t>Cross-Asset Momentum</w:t>
            </w:r>
          </w:p>
        </w:tc>
        <w:tc>
          <w:tcPr>
            <w:tcW w:type="dxa" w:w="3456"/>
          </w:tcPr>
          <w:p>
            <w:r/>
            <w:r>
              <w:t>Equity, Commodity, Fixed-Income, FX Momentum</w:t>
            </w:r>
          </w:p>
        </w:tc>
        <w:tc>
          <w:tcPr>
            <w:tcW w:type="dxa" w:w="3456"/>
          </w:tcPr>
          <w:p>
            <w:r/>
            <w:r>
              <w:t>rank-standardized long/short weights from 12-1 signals</w:t>
            </w:r>
          </w:p>
        </w:tc>
      </w:tr>
      <w:tr>
        <w:tc>
          <w:tcPr>
            <w:tcW w:type="dxa" w:w="3456"/>
          </w:tcPr>
          <w:p>
            <w:r/>
            <w:r>
              <w:t>Cross-Asset Carry</w:t>
            </w:r>
          </w:p>
        </w:tc>
        <w:tc>
          <w:tcPr>
            <w:tcW w:type="dxa" w:w="3456"/>
          </w:tcPr>
          <w:p>
            <w:r/>
            <w:r>
              <w:t>Fixed-Income Carry, FX Carry</w:t>
            </w:r>
          </w:p>
        </w:tc>
        <w:tc>
          <w:tcPr>
            <w:tcW w:type="dxa" w:w="3456"/>
          </w:tcPr>
          <w:p>
            <w:r/>
            <w:r>
              <w:t>rank-standardized long/short weights from carry signals</w:t>
            </w:r>
          </w:p>
        </w:tc>
      </w:tr>
    </w:tbl>
    <w:p>
      <w:pPr>
        <w:pStyle w:val="Heading3"/>
      </w:pPr>
      <w:r>
        <w:t>2.2 Monthly construction process</w:t>
      </w:r>
    </w:p>
    <w:p>
      <w:pPr>
        <w:pStyle w:val="ListNumber"/>
      </w:pPr>
      <w:r>
        <w:t xml:space="preserve">Compute sleeve signals using only information available at month-end </w:t>
      </w:r>
      <w:r>
        <w:rPr>
          <w:rFonts w:ascii="Menlo" w:hAnsi="Menlo"/>
          <w:sz w:val="20"/>
        </w:rPr>
        <w:t>t</w:t>
      </w:r>
      <w:r>
        <w:t>.</w:t>
      </w:r>
    </w:p>
    <w:p>
      <w:pPr>
        <w:pStyle w:val="ListNumber"/>
      </w:pPr>
      <w:r>
        <w:t>Convert each sleeve signal into cross-sectional rank-standardized raw weights.</w:t>
      </w:r>
    </w:p>
    <w:p>
      <w:pPr>
        <w:pStyle w:val="ListNumber"/>
      </w:pPr>
      <w:r>
        <w:t xml:space="preserve">Estimate a </w:t>
      </w:r>
      <w:r>
        <w:rPr>
          <w:b/>
        </w:rPr>
        <w:t>36-month population covariance matrix</w:t>
      </w:r>
      <w:r>
        <w:t xml:space="preserve"> at each month-end.</w:t>
      </w:r>
    </w:p>
    <w:p>
      <w:pPr>
        <w:pStyle w:val="ListNumber"/>
      </w:pPr>
      <w:r>
        <w:t xml:space="preserve">Scale each sleeve to target </w:t>
      </w:r>
      <w:r>
        <w:rPr>
          <w:b/>
        </w:rPr>
        <w:t>1% annualized ex-ante volatility</w:t>
      </w:r>
      <w:r>
        <w:t>.</w:t>
      </w:r>
    </w:p>
    <w:p>
      <w:pPr>
        <w:pStyle w:val="ListNumber"/>
      </w:pPr>
      <w:r>
        <w:t xml:space="preserve">Equal-weight sleeves within each factor family and rescale each family to </w:t>
      </w:r>
      <w:r>
        <w:rPr>
          <w:b/>
        </w:rPr>
        <w:t>1%</w:t>
      </w:r>
      <w:r>
        <w:t>.</w:t>
      </w:r>
    </w:p>
    <w:p>
      <w:pPr>
        <w:pStyle w:val="ListNumber"/>
      </w:pPr>
      <w:r>
        <w:t xml:space="preserve">Equal-weight the two factor families and rescale the final portfolio again to </w:t>
      </w:r>
      <w:r>
        <w:rPr>
          <w:b/>
        </w:rPr>
        <w:t>1%</w:t>
      </w:r>
      <w:r>
        <w:t>.</w:t>
      </w:r>
    </w:p>
    <w:p>
      <w:pPr>
        <w:pStyle w:val="ListNumber"/>
      </w:pPr>
      <w:r>
        <w:t xml:space="preserve">Apply weights formed at month </w:t>
      </w:r>
      <w:r>
        <w:rPr>
          <w:rFonts w:ascii="Menlo" w:hAnsi="Menlo"/>
          <w:sz w:val="20"/>
        </w:rPr>
        <w:t>t</w:t>
      </w:r>
      <w:r>
        <w:t xml:space="preserve"> to returns realized at month </w:t>
      </w:r>
      <w:r>
        <w:rPr>
          <w:rFonts w:ascii="Menlo" w:hAnsi="Menlo"/>
          <w:sz w:val="20"/>
        </w:rPr>
        <w:t>t+1</w:t>
      </w:r>
      <w:r>
        <w:t>.</w:t>
      </w:r>
    </w:p>
    <w:p>
      <w:r>
        <w:t>This satisfies the project’s core construction requirements: at least monthly re-estimation, at least 36 months of prior returns in the covariance matrix, sleeve-level 1% scaling, and final portfolio 1% scaling.</w:t>
      </w:r>
    </w:p>
    <w:p>
      <w:pPr>
        <w:pStyle w:val="Heading3"/>
      </w:pPr>
      <w:r>
        <w:t>2.3 No-look-ahead controls</w:t>
      </w:r>
    </w:p>
    <w:p>
      <w:r>
        <w:t>Look-ahead bias is explicitly controlled throughout the pipeline.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r>
            <w:r>
              <w:rPr>
                <w:b/>
              </w:rPr>
              <w:t>Control</w:t>
            </w:r>
          </w:p>
        </w:tc>
        <w:tc>
          <w:tcPr>
            <w:tcW w:type="dxa" w:w="5184"/>
          </w:tcPr>
          <w:p>
            <w:r>
              <w:rPr>
                <w:b/>
              </w:rPr>
            </w:r>
            <w:r>
              <w:rPr>
                <w:b/>
              </w:rPr>
              <w:t>Implementation</w:t>
            </w:r>
          </w:p>
        </w:tc>
      </w:tr>
      <w:tr>
        <w:tc>
          <w:tcPr>
            <w:tcW w:type="dxa" w:w="5184"/>
          </w:tcPr>
          <w:p>
            <w:r/>
            <w:r>
              <w:t>Signal timing</w:t>
            </w:r>
          </w:p>
        </w:tc>
        <w:tc>
          <w:tcPr>
            <w:tcW w:type="dxa" w:w="5184"/>
          </w:tcPr>
          <w:p>
            <w:r/>
            <w:r>
              <w:t>momentum skips the most recent month</w:t>
            </w:r>
          </w:p>
        </w:tc>
      </w:tr>
      <w:tr>
        <w:tc>
          <w:tcPr>
            <w:tcW w:type="dxa" w:w="5184"/>
          </w:tcPr>
          <w:p>
            <w:r/>
            <w:r>
              <w:t>Covariance timing</w:t>
            </w:r>
          </w:p>
        </w:tc>
        <w:tc>
          <w:tcPr>
            <w:tcW w:type="dxa" w:w="5184"/>
          </w:tcPr>
          <w:p>
            <w:r/>
            <w:r>
              <w:t xml:space="preserve">covariance uses only trailing data available through month </w:t>
            </w:r>
            <w:r>
              <w:rPr>
                <w:rFonts w:ascii="Menlo" w:hAnsi="Menlo"/>
                <w:sz w:val="20"/>
              </w:rPr>
              <w:t>t</w:t>
            </w:r>
          </w:p>
        </w:tc>
      </w:tr>
      <w:tr>
        <w:tc>
          <w:tcPr>
            <w:tcW w:type="dxa" w:w="5184"/>
          </w:tcPr>
          <w:p>
            <w:r/>
            <w:r>
              <w:t>Return alignment</w:t>
            </w:r>
          </w:p>
        </w:tc>
        <w:tc>
          <w:tcPr>
            <w:tcW w:type="dxa" w:w="5184"/>
          </w:tcPr>
          <w:p>
            <w:r/>
            <w:r>
              <w:t xml:space="preserve">weights at </w:t>
            </w:r>
            <w:r>
              <w:rPr>
                <w:rFonts w:ascii="Menlo" w:hAnsi="Menlo"/>
                <w:sz w:val="20"/>
              </w:rPr>
              <w:t>t</w:t>
            </w:r>
            <w:r>
              <w:t xml:space="preserve"> are applied to returns at </w:t>
            </w:r>
            <w:r>
              <w:rPr>
                <w:rFonts w:ascii="Menlo" w:hAnsi="Menlo"/>
                <w:sz w:val="20"/>
              </w:rPr>
              <w:t>t+1</w:t>
            </w:r>
          </w:p>
        </w:tc>
      </w:tr>
      <w:tr>
        <w:tc>
          <w:tcPr>
            <w:tcW w:type="dxa" w:w="5184"/>
          </w:tcPr>
          <w:p>
            <w:r/>
            <w:r>
              <w:t>Audit</w:t>
            </w:r>
          </w:p>
        </w:tc>
        <w:tc>
          <w:tcPr>
            <w:tcW w:type="dxa" w:w="5184"/>
          </w:tcPr>
          <w:p>
            <w:r/>
            <w:r>
              <w:t>dedicated verification notebook checks timing, alignment, carry pass-through, and future-shock invariance</w:t>
            </w:r>
          </w:p>
        </w:tc>
      </w:tr>
    </w:tbl>
    <w:p>
      <w:r>
        <w:t xml:space="preserve">Supporting files: </w:t>
      </w:r>
      <w:hyperlink r:id="rId10">
        <w:r>
          <w:rPr>
            <w:color w:val="0563C1"/>
            <w:u w:val="single"/>
          </w:rPr>
          <w:t>notebooks/09_no_lookahead_verification.ipynb</w:t>
        </w:r>
      </w:hyperlink>
      <w:r>
        <w:t xml:space="preserve">, </w:t>
      </w:r>
      <w:hyperlink r:id="rId11">
        <w:r>
          <w:rPr>
            <w:color w:val="0563C1"/>
            <w:u w:val="single"/>
          </w:rPr>
          <w:t>config/project2_gtaa_expanded.yaml</w:t>
        </w:r>
      </w:hyperlink>
      <w:r>
        <w:t xml:space="preserve">, </w:t>
      </w:r>
      <w:hyperlink r:id="rId12">
        <w:r>
          <w:rPr>
            <w:color w:val="0563C1"/>
            <w:u w:val="single"/>
          </w:rPr>
          <w:t>src/gtaa/portfolio/backtester_gtaa_expanded.py</w:t>
        </w:r>
      </w:hyperlink>
      <w:r>
        <w:t>.</w:t>
      </w:r>
    </w:p>
    <w:p>
      <w:pPr>
        <w:pStyle w:val="Heading2"/>
      </w:pPr>
      <w:r>
        <w:t>3. Backtest Results</w:t>
      </w:r>
    </w:p>
    <w:p>
      <w:pPr>
        <w:pStyle w:val="Heading3"/>
      </w:pPr>
      <w:r>
        <w:t>3.1 Final expanded portfolio</w:t>
      </w:r>
    </w:p>
    <w:p>
      <w:r>
        <w:t xml:space="preserve">The expanded strategy has </w:t>
      </w:r>
      <w:r>
        <w:rPr>
          <w:b/>
        </w:rPr>
        <w:t>240 realized monthly returns</w:t>
      </w:r>
      <w:r>
        <w:t xml:space="preserve"> from </w:t>
      </w:r>
      <w:r>
        <w:rPr>
          <w:b/>
        </w:rPr>
        <w:t>December 2005 to November 2025</w:t>
      </w:r>
      <w:r>
        <w: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rPr>
                <w:b/>
              </w:rPr>
            </w:r>
            <w:r>
              <w:rPr>
                <w:b/>
              </w:rPr>
              <w:t>Strategy</w:t>
            </w:r>
          </w:p>
        </w:tc>
        <w:tc>
          <w:tcPr>
            <w:tcW w:type="dxa" w:w="1296"/>
          </w:tcPr>
          <w:p>
            <w:r>
              <w:rPr>
                <w:b/>
              </w:rPr>
            </w:r>
            <w:r>
              <w:rPr>
                <w:b/>
              </w:rPr>
              <w:t>Months</w:t>
            </w:r>
          </w:p>
        </w:tc>
        <w:tc>
          <w:tcPr>
            <w:tcW w:type="dxa" w:w="1296"/>
          </w:tcPr>
          <w:p>
            <w:r>
              <w:rPr>
                <w:b/>
              </w:rPr>
            </w:r>
            <w:r>
              <w:rPr>
                <w:b/>
              </w:rPr>
              <w:t>Ann. return</w:t>
            </w:r>
          </w:p>
        </w:tc>
        <w:tc>
          <w:tcPr>
            <w:tcW w:type="dxa" w:w="1296"/>
          </w:tcPr>
          <w:p>
            <w:r>
              <w:rPr>
                <w:b/>
              </w:rPr>
            </w:r>
            <w:r>
              <w:rPr>
                <w:b/>
              </w:rPr>
              <w:t>Ann. vol</w:t>
            </w:r>
          </w:p>
        </w:tc>
        <w:tc>
          <w:tcPr>
            <w:tcW w:type="dxa" w:w="1296"/>
          </w:tcPr>
          <w:p>
            <w:r>
              <w:rPr>
                <w:b/>
              </w:rPr>
            </w:r>
            <w:r>
              <w:rPr>
                <w:b/>
              </w:rPr>
              <w:t>Information ratio</w:t>
            </w:r>
          </w:p>
        </w:tc>
        <w:tc>
          <w:tcPr>
            <w:tcW w:type="dxa" w:w="1296"/>
          </w:tcPr>
          <w:p>
            <w:r>
              <w:rPr>
                <w:b/>
              </w:rPr>
            </w:r>
            <w:r>
              <w:rPr>
                <w:b/>
              </w:rPr>
              <w:t>Avg drawdown</w:t>
            </w:r>
          </w:p>
        </w:tc>
        <w:tc>
          <w:tcPr>
            <w:tcW w:type="dxa" w:w="1296"/>
          </w:tcPr>
          <w:p>
            <w:r>
              <w:rPr>
                <w:b/>
              </w:rPr>
            </w:r>
            <w:r>
              <w:rPr>
                <w:b/>
              </w:rPr>
              <w:t>Max drawdown</w:t>
            </w:r>
          </w:p>
        </w:tc>
        <w:tc>
          <w:tcPr>
            <w:tcW w:type="dxa" w:w="1296"/>
          </w:tcPr>
          <w:p>
            <w:r>
              <w:rPr>
                <w:b/>
              </w:rPr>
            </w:r>
            <w:r>
              <w:rPr>
                <w:b/>
              </w:rPr>
              <w:t>Annualized turnover</w:t>
            </w:r>
          </w:p>
        </w:tc>
      </w:tr>
      <w:tr>
        <w:tc>
          <w:tcPr>
            <w:tcW w:type="dxa" w:w="1296"/>
          </w:tcPr>
          <w:p>
            <w:r/>
            <w:r>
              <w:t>Expanded GTAA (6 sleeves)</w:t>
            </w:r>
          </w:p>
        </w:tc>
        <w:tc>
          <w:tcPr>
            <w:tcW w:type="dxa" w:w="1296"/>
          </w:tcPr>
          <w:p>
            <w:r/>
            <w:r>
              <w:t>240</w:t>
            </w:r>
          </w:p>
        </w:tc>
        <w:tc>
          <w:tcPr>
            <w:tcW w:type="dxa" w:w="1296"/>
          </w:tcPr>
          <w:p>
            <w:r/>
            <w:r>
              <w:rPr>
                <w:b/>
              </w:rPr>
              <w:t>0.42%</w:t>
            </w:r>
          </w:p>
        </w:tc>
        <w:tc>
          <w:tcPr>
            <w:tcW w:type="dxa" w:w="1296"/>
          </w:tcPr>
          <w:p>
            <w:r/>
            <w:r>
              <w:rPr>
                <w:b/>
              </w:rPr>
              <w:t>1.15%</w:t>
            </w:r>
          </w:p>
        </w:tc>
        <w:tc>
          <w:tcPr>
            <w:tcW w:type="dxa" w:w="1296"/>
          </w:tcPr>
          <w:p>
            <w:r/>
            <w:r>
              <w:rPr>
                <w:b/>
              </w:rPr>
              <w:t>0.361</w:t>
            </w:r>
          </w:p>
        </w:tc>
        <w:tc>
          <w:tcPr>
            <w:tcW w:type="dxa" w:w="1296"/>
          </w:tcPr>
          <w:p>
            <w:r/>
            <w:r>
              <w:rPr>
                <w:b/>
              </w:rPr>
              <w:t>-1.01%</w:t>
            </w:r>
          </w:p>
        </w:tc>
        <w:tc>
          <w:tcPr>
            <w:tcW w:type="dxa" w:w="1296"/>
          </w:tcPr>
          <w:p>
            <w:r/>
            <w:r>
              <w:rPr>
                <w:b/>
              </w:rPr>
              <w:t>-2.86%</w:t>
            </w:r>
          </w:p>
        </w:tc>
        <w:tc>
          <w:tcPr>
            <w:tcW w:type="dxa" w:w="1296"/>
          </w:tcPr>
          <w:p>
            <w:r/>
            <w:r>
              <w:rPr>
                <w:b/>
              </w:rPr>
              <w:t>236.3%</w:t>
            </w:r>
          </w:p>
        </w:tc>
      </w:tr>
    </w:tbl>
    <w:p>
      <w:pPr>
        <w:pStyle w:val="Heading3"/>
      </w:pPr>
      <w:r>
        <w:t>3.2 Benchmark comparison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r>
            <w:r>
              <w:rPr>
                <w:b/>
              </w:rPr>
              <w:t>Metric</w:t>
            </w:r>
          </w:p>
        </w:tc>
        <w:tc>
          <w:tcPr>
            <w:tcW w:type="dxa" w:w="3456"/>
          </w:tcPr>
          <w:p>
            <w:r>
              <w:rPr>
                <w:b/>
              </w:rPr>
            </w:r>
            <w:r>
              <w:rPr>
                <w:b/>
              </w:rPr>
              <w:t>Baseline (3 sleeves)</w:t>
            </w:r>
          </w:p>
        </w:tc>
        <w:tc>
          <w:tcPr>
            <w:tcW w:type="dxa" w:w="3456"/>
          </w:tcPr>
          <w:p>
            <w:r>
              <w:rPr>
                <w:b/>
              </w:rPr>
            </w:r>
            <w:r>
              <w:rPr>
                <w:b/>
              </w:rPr>
              <w:t>Expanded (6 sleeves)</w:t>
            </w:r>
          </w:p>
        </w:tc>
      </w:tr>
      <w:tr>
        <w:tc>
          <w:tcPr>
            <w:tcW w:type="dxa" w:w="3456"/>
          </w:tcPr>
          <w:p>
            <w:r/>
            <w:r>
              <w:t>Annualized return</w:t>
            </w:r>
          </w:p>
        </w:tc>
        <w:tc>
          <w:tcPr>
            <w:tcW w:type="dxa" w:w="3456"/>
          </w:tcPr>
          <w:p>
            <w:r/>
            <w:r>
              <w:rPr>
                <w:b/>
              </w:rPr>
              <w:t>0.46%</w:t>
            </w:r>
          </w:p>
        </w:tc>
        <w:tc>
          <w:tcPr>
            <w:tcW w:type="dxa" w:w="3456"/>
          </w:tcPr>
          <w:p>
            <w:r/>
            <w:r>
              <w:t>0.42%</w:t>
            </w:r>
          </w:p>
        </w:tc>
      </w:tr>
      <w:tr>
        <w:tc>
          <w:tcPr>
            <w:tcW w:type="dxa" w:w="3456"/>
          </w:tcPr>
          <w:p>
            <w:r/>
            <w:r>
              <w:t>Annualized volatility</w:t>
            </w:r>
          </w:p>
        </w:tc>
        <w:tc>
          <w:tcPr>
            <w:tcW w:type="dxa" w:w="3456"/>
          </w:tcPr>
          <w:p>
            <w:r/>
            <w:r>
              <w:rPr>
                <w:b/>
              </w:rPr>
              <w:t>1.06%</w:t>
            </w:r>
          </w:p>
        </w:tc>
        <w:tc>
          <w:tcPr>
            <w:tcW w:type="dxa" w:w="3456"/>
          </w:tcPr>
          <w:p>
            <w:r/>
            <w:r>
              <w:t>1.15%</w:t>
            </w:r>
          </w:p>
        </w:tc>
      </w:tr>
      <w:tr>
        <w:tc>
          <w:tcPr>
            <w:tcW w:type="dxa" w:w="3456"/>
          </w:tcPr>
          <w:p>
            <w:r/>
            <w:r>
              <w:t>Information ratio</w:t>
            </w:r>
          </w:p>
        </w:tc>
        <w:tc>
          <w:tcPr>
            <w:tcW w:type="dxa" w:w="3456"/>
          </w:tcPr>
          <w:p>
            <w:r/>
            <w:r>
              <w:rPr>
                <w:b/>
              </w:rPr>
              <w:t>0.431</w:t>
            </w:r>
          </w:p>
        </w:tc>
        <w:tc>
          <w:tcPr>
            <w:tcW w:type="dxa" w:w="3456"/>
          </w:tcPr>
          <w:p>
            <w:r/>
            <w:r>
              <w:t>0.361</w:t>
            </w:r>
          </w:p>
        </w:tc>
      </w:tr>
      <w:tr>
        <w:tc>
          <w:tcPr>
            <w:tcW w:type="dxa" w:w="3456"/>
          </w:tcPr>
          <w:p>
            <w:r/>
            <w:r>
              <w:t>Maximum drawdown</w:t>
            </w:r>
          </w:p>
        </w:tc>
        <w:tc>
          <w:tcPr>
            <w:tcW w:type="dxa" w:w="3456"/>
          </w:tcPr>
          <w:p>
            <w:r/>
            <w:r>
              <w:rPr>
                <w:b/>
              </w:rPr>
              <w:t>-2.83%</w:t>
            </w:r>
          </w:p>
        </w:tc>
        <w:tc>
          <w:tcPr>
            <w:tcW w:type="dxa" w:w="3456"/>
          </w:tcPr>
          <w:p>
            <w:r/>
            <w:r>
              <w:t>-2.86%</w:t>
            </w:r>
          </w:p>
        </w:tc>
      </w:tr>
    </w:tbl>
    <w:p>
      <w:r>
        <w:t xml:space="preserve">The baseline is stronger on pure in-sample efficiency, but the expanded version is the more complete </w:t>
      </w:r>
      <w:r>
        <w:rPr>
          <w:b/>
        </w:rPr>
        <w:t>GTAA architecture</w:t>
      </w:r>
      <w:r>
        <w:t xml:space="preserve"> because it broadens the opportunity set across bonds and currencies while keeping downside risk very similar. This is important because the project is graded on the soundness of assumptions and methodology rather than on maximizing in-sample performance.</w:t>
      </w:r>
    </w:p>
    <w:p>
      <w:r>
        <w:t xml:space="preserve">Within the expanded strategy, the </w:t>
      </w:r>
      <w:r>
        <w:rPr>
          <w:b/>
        </w:rPr>
        <w:t>carry family</w:t>
      </w:r>
      <w:r>
        <w:t xml:space="preserve"> is the cleaner contributor (</w:t>
      </w:r>
      <w:r>
        <w:rPr>
          <w:rFonts w:ascii="Menlo" w:hAnsi="Menlo"/>
          <w:sz w:val="20"/>
        </w:rPr>
        <w:t>IR = 0.326</w:t>
      </w:r>
      <w:r>
        <w:t xml:space="preserve"> versus </w:t>
      </w:r>
      <w:r>
        <w:rPr>
          <w:rFonts w:ascii="Menlo" w:hAnsi="Menlo"/>
          <w:sz w:val="20"/>
        </w:rPr>
        <w:t>0.124</w:t>
      </w:r>
      <w:r>
        <w:t xml:space="preserve"> for the momentum family). The weaker sleeves are </w:t>
      </w:r>
      <w:r>
        <w:rPr>
          <w:b/>
        </w:rPr>
        <w:t>fixed-income momentum</w:t>
      </w:r>
      <w:r>
        <w:t xml:space="preserve"> and </w:t>
      </w:r>
      <w:r>
        <w:rPr>
          <w:b/>
        </w:rPr>
        <w:t>FX carry</w:t>
      </w:r>
      <w:r>
        <w:t>, which explains the lower final information ratio relative to the baseline benchmark.</w:t>
      </w:r>
    </w:p>
    <w:p>
      <w:pPr>
        <w:pStyle w:val="Heading3"/>
      </w:pPr>
      <w:r>
        <w:t>3.3 Portfolio growth and drawdown</w:t>
      </w:r>
    </w:p>
    <w:p>
      <w:pPr>
        <w:jc w:val="center"/>
      </w:pPr>
      <w:r>
        <w:drawing>
          <wp:inline xmlns:a="http://schemas.openxmlformats.org/drawingml/2006/main" xmlns:pic="http://schemas.openxmlformats.org/drawingml/2006/picture">
            <wp:extent cx="5577840" cy="3433934"/>
            <wp:docPr id="1" name="Picture 1"/>
            <wp:cNvGraphicFramePr>
              <a:graphicFrameLocks noChangeAspect="1"/>
            </wp:cNvGraphicFramePr>
            <a:graphic>
              <a:graphicData uri="http://schemas.openxmlformats.org/drawingml/2006/picture">
                <pic:pic>
                  <pic:nvPicPr>
                    <pic:cNvPr id="0" name="cu_hero_cumulative.png"/>
                    <pic:cNvPicPr/>
                  </pic:nvPicPr>
                  <pic:blipFill>
                    <a:blip r:embed="rId13"/>
                    <a:stretch>
                      <a:fillRect/>
                    </a:stretch>
                  </pic:blipFill>
                  <pic:spPr>
                    <a:xfrm>
                      <a:off x="0" y="0"/>
                      <a:ext cx="5577840" cy="3433934"/>
                    </a:xfrm>
                    <a:prstGeom prst="rect"/>
                  </pic:spPr>
                </pic:pic>
              </a:graphicData>
            </a:graphic>
          </wp:inline>
        </w:drawing>
      </w:r>
    </w:p>
    <w:p>
      <w:r>
        <w:rPr>
          <w:i/>
        </w:rPr>
        <w:t>Source figure: [outputs/figures/cu_hero_cumulative.png](outputs/figures/cu_hero_cumulative.png).</w:t>
      </w:r>
    </w:p>
    <w:p>
      <w:r>
        <w:t>This figure shows the growth of $1 for the final portfolio and the benchmark comparison, together with the realized drawdown profile. The expanded strategy remains close to the baseline in cumulative performance and exhibits a similar maximum drawdown.</w:t>
      </w:r>
    </w:p>
    <w:p>
      <w:pPr>
        <w:pStyle w:val="Heading3"/>
      </w:pPr>
      <w:r>
        <w:t>3.4 Growth of $1 for each sleeve</w:t>
      </w:r>
    </w:p>
    <w:p>
      <w:pPr>
        <w:jc w:val="center"/>
      </w:pPr>
      <w:r>
        <w:drawing>
          <wp:inline xmlns:a="http://schemas.openxmlformats.org/drawingml/2006/main" xmlns:pic="http://schemas.openxmlformats.org/drawingml/2006/picture">
            <wp:extent cx="5577840" cy="4794821"/>
            <wp:docPr id="2" name="Picture 2"/>
            <wp:cNvGraphicFramePr>
              <a:graphicFrameLocks noChangeAspect="1"/>
            </wp:cNvGraphicFramePr>
            <a:graphic>
              <a:graphicData uri="http://schemas.openxmlformats.org/drawingml/2006/picture">
                <pic:pic>
                  <pic:nvPicPr>
                    <pic:cNvPr id="0" name="expanded_sleeve_growth.png"/>
                    <pic:cNvPicPr/>
                  </pic:nvPicPr>
                  <pic:blipFill>
                    <a:blip r:embed="rId14"/>
                    <a:stretch>
                      <a:fillRect/>
                    </a:stretch>
                  </pic:blipFill>
                  <pic:spPr>
                    <a:xfrm>
                      <a:off x="0" y="0"/>
                      <a:ext cx="5577840" cy="4794821"/>
                    </a:xfrm>
                    <a:prstGeom prst="rect"/>
                  </pic:spPr>
                </pic:pic>
              </a:graphicData>
            </a:graphic>
          </wp:inline>
        </w:drawing>
      </w:r>
    </w:p>
    <w:p>
      <w:r>
        <w:rPr>
          <w:i/>
        </w:rPr>
        <w:t>Source figure: [outputs/figures/expanded_sleeve_growth.png](outputs/figures/expanded_sleeve_growth.png).</w:t>
      </w:r>
    </w:p>
    <w:p>
      <w:r>
        <w:t>This six-panel chart addresses the project requirement to show growth of $1 for each factor-mimicking portfolio separately. Equity momentum and fixed-income carry are the strongest sleeve-level contributors; fixed-income momentum and FX carry are the weakest over the final sample.</w:t>
      </w:r>
    </w:p>
    <w:p>
      <w:pPr>
        <w:pStyle w:val="Heading2"/>
      </w:pPr>
      <w:r>
        <w:t>4. Notebook Deliverables Map</w:t>
      </w:r>
    </w:p>
    <w:p>
      <w:r>
        <w:t xml:space="preserve">All required charts are embedded in </w:t>
      </w:r>
      <w:hyperlink r:id="rId9">
        <w:r>
          <w:rPr>
            <w:color w:val="0563C1"/>
            <w:u w:val="single"/>
          </w:rPr>
          <w:t>notebooks/FINAL_SUBMISSION.ipynb</w:t>
        </w:r>
      </w:hyperlink>
      <w:r>
        <w:t>. The table below maps the assignment requirements directly to notebook sections.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r>
            <w:r>
              <w:rPr>
                <w:b/>
              </w:rPr>
              <w:t>Assignment requirement</w:t>
            </w:r>
          </w:p>
        </w:tc>
        <w:tc>
          <w:tcPr>
            <w:tcW w:type="dxa" w:w="5184"/>
          </w:tcPr>
          <w:p>
            <w:r>
              <w:rPr>
                <w:b/>
              </w:rPr>
            </w:r>
            <w:r>
              <w:rPr>
                <w:b/>
              </w:rPr>
              <w:t>Notebook location</w:t>
            </w:r>
          </w:p>
        </w:tc>
      </w:tr>
      <w:tr>
        <w:tc>
          <w:tcPr>
            <w:tcW w:type="dxa" w:w="5184"/>
          </w:tcPr>
          <w:p>
            <w:r/>
            <w:r>
              <w:t>Data used / data handling</w:t>
            </w:r>
          </w:p>
        </w:tc>
        <w:tc>
          <w:tcPr>
            <w:tcW w:type="dxa" w:w="5184"/>
          </w:tcPr>
          <w:p>
            <w:r/>
            <w:r>
              <w:rPr>
                <w:rFonts w:ascii="Menlo" w:hAnsi="Menlo"/>
                <w:sz w:val="20"/>
              </w:rPr>
              <w:t>FINAL_SUBMISSION.ipynb</w:t>
            </w:r>
            <w:r>
              <w:t xml:space="preserve"> → Sections 1–3</w:t>
            </w:r>
          </w:p>
        </w:tc>
      </w:tr>
      <w:tr>
        <w:tc>
          <w:tcPr>
            <w:tcW w:type="dxa" w:w="5184"/>
          </w:tcPr>
          <w:p>
            <w:r/>
            <w:r>
              <w:t>Factors / methodology</w:t>
            </w:r>
          </w:p>
        </w:tc>
        <w:tc>
          <w:tcPr>
            <w:tcW w:type="dxa" w:w="5184"/>
          </w:tcPr>
          <w:p>
            <w:r/>
            <w:r>
              <w:rPr>
                <w:rFonts w:ascii="Menlo" w:hAnsi="Menlo"/>
                <w:sz w:val="20"/>
              </w:rPr>
              <w:t>FINAL_SUBMISSION.ipynb</w:t>
            </w:r>
            <w:r>
              <w:t xml:space="preserve"> → Sections 4–7</w:t>
            </w:r>
          </w:p>
        </w:tc>
      </w:tr>
      <w:tr>
        <w:tc>
          <w:tcPr>
            <w:tcW w:type="dxa" w:w="5184"/>
          </w:tcPr>
          <w:p>
            <w:r/>
            <w:r>
              <w:t>Raw Factor Weights</w:t>
            </w:r>
          </w:p>
        </w:tc>
        <w:tc>
          <w:tcPr>
            <w:tcW w:type="dxa" w:w="5184"/>
          </w:tcPr>
          <w:p>
            <w:r/>
            <w:r>
              <w:rPr>
                <w:rFonts w:ascii="Menlo" w:hAnsi="Menlo"/>
                <w:sz w:val="20"/>
              </w:rPr>
              <w:t>FINAL_SUBMISSION.ipynb</w:t>
            </w:r>
            <w:r>
              <w:t xml:space="preserve"> → Section 5</w:t>
            </w:r>
          </w:p>
        </w:tc>
      </w:tr>
      <w:tr>
        <w:tc>
          <w:tcPr>
            <w:tcW w:type="dxa" w:w="5184"/>
          </w:tcPr>
          <w:p>
            <w:r/>
            <w:r>
              <w:t>Factor1 1% Volatility Weights</w:t>
            </w:r>
          </w:p>
        </w:tc>
        <w:tc>
          <w:tcPr>
            <w:tcW w:type="dxa" w:w="5184"/>
          </w:tcPr>
          <w:p>
            <w:r/>
            <w:r>
              <w:rPr>
                <w:rFonts w:ascii="Menlo" w:hAnsi="Menlo"/>
                <w:sz w:val="20"/>
              </w:rPr>
              <w:t>FINAL_SUBMISSION.ipynb</w:t>
            </w:r>
            <w:r>
              <w:t xml:space="preserve"> → Section 8</w:t>
            </w:r>
          </w:p>
        </w:tc>
      </w:tr>
      <w:tr>
        <w:tc>
          <w:tcPr>
            <w:tcW w:type="dxa" w:w="5184"/>
          </w:tcPr>
          <w:p>
            <w:r/>
            <w:r>
              <w:t>Factor2 1% Volatility Weights</w:t>
            </w:r>
          </w:p>
        </w:tc>
        <w:tc>
          <w:tcPr>
            <w:tcW w:type="dxa" w:w="5184"/>
          </w:tcPr>
          <w:p>
            <w:r/>
            <w:r>
              <w:rPr>
                <w:rFonts w:ascii="Menlo" w:hAnsi="Menlo"/>
                <w:sz w:val="20"/>
              </w:rPr>
              <w:t>FINAL_SUBMISSION.ipynb</w:t>
            </w:r>
            <w:r>
              <w:t xml:space="preserve"> → Section 9</w:t>
            </w:r>
          </w:p>
        </w:tc>
      </w:tr>
      <w:tr>
        <w:tc>
          <w:tcPr>
            <w:tcW w:type="dxa" w:w="5184"/>
          </w:tcPr>
          <w:p>
            <w:r/>
            <w:r>
              <w:t>Final 1% Volatility Portfolio Weights</w:t>
            </w:r>
          </w:p>
        </w:tc>
        <w:tc>
          <w:tcPr>
            <w:tcW w:type="dxa" w:w="5184"/>
          </w:tcPr>
          <w:p>
            <w:r/>
            <w:r>
              <w:rPr>
                <w:rFonts w:ascii="Menlo" w:hAnsi="Menlo"/>
                <w:sz w:val="20"/>
              </w:rPr>
              <w:t>FINAL_SUBMISSION.ipynb</w:t>
            </w:r>
            <w:r>
              <w:t xml:space="preserve"> → Section 10</w:t>
            </w:r>
          </w:p>
        </w:tc>
      </w:tr>
      <w:tr>
        <w:tc>
          <w:tcPr>
            <w:tcW w:type="dxa" w:w="5184"/>
          </w:tcPr>
          <w:p>
            <w:r/>
            <w:r>
              <w:t>Gross Returns / Growth of $1</w:t>
            </w:r>
          </w:p>
        </w:tc>
        <w:tc>
          <w:tcPr>
            <w:tcW w:type="dxa" w:w="5184"/>
          </w:tcPr>
          <w:p>
            <w:r/>
            <w:r>
              <w:rPr>
                <w:rFonts w:ascii="Menlo" w:hAnsi="Menlo"/>
                <w:sz w:val="20"/>
              </w:rPr>
              <w:t>FINAL_SUBMISSION.ipynb</w:t>
            </w:r>
            <w:r>
              <w:t xml:space="preserve"> → Section 11</w:t>
            </w:r>
          </w:p>
        </w:tc>
      </w:tr>
      <w:tr>
        <w:tc>
          <w:tcPr>
            <w:tcW w:type="dxa" w:w="5184"/>
          </w:tcPr>
          <w:p>
            <w:r/>
            <w:r>
              <w:t>Portfolio Statistics</w:t>
            </w:r>
          </w:p>
        </w:tc>
        <w:tc>
          <w:tcPr>
            <w:tcW w:type="dxa" w:w="5184"/>
          </w:tcPr>
          <w:p>
            <w:r/>
            <w:r>
              <w:rPr>
                <w:rFonts w:ascii="Menlo" w:hAnsi="Menlo"/>
                <w:sz w:val="20"/>
              </w:rPr>
              <w:t>FINAL_SUBMISSION.ipynb</w:t>
            </w:r>
            <w:r>
              <w:t xml:space="preserve"> → Section 12</w:t>
            </w:r>
          </w:p>
        </w:tc>
      </w:tr>
      <w:tr>
        <w:tc>
          <w:tcPr>
            <w:tcW w:type="dxa" w:w="5184"/>
          </w:tcPr>
          <w:p>
            <w:r/>
            <w:r>
              <w:t>Turnover</w:t>
            </w:r>
          </w:p>
        </w:tc>
        <w:tc>
          <w:tcPr>
            <w:tcW w:type="dxa" w:w="5184"/>
          </w:tcPr>
          <w:p>
            <w:r/>
            <w:r>
              <w:rPr>
                <w:rFonts w:ascii="Menlo" w:hAnsi="Menlo"/>
                <w:sz w:val="20"/>
              </w:rPr>
              <w:t>FINAL_SUBMISSION.ipynb</w:t>
            </w:r>
            <w:r>
              <w:t xml:space="preserve"> → Section 13</w:t>
            </w:r>
          </w:p>
        </w:tc>
      </w:tr>
      <w:tr>
        <w:tc>
          <w:tcPr>
            <w:tcW w:type="dxa" w:w="5184"/>
          </w:tcPr>
          <w:p>
            <w:r/>
            <w:r>
              <w:t>Covariances / Volatilities / Correlations</w:t>
            </w:r>
          </w:p>
        </w:tc>
        <w:tc>
          <w:tcPr>
            <w:tcW w:type="dxa" w:w="5184"/>
          </w:tcPr>
          <w:p>
            <w:r/>
            <w:r>
              <w:rPr>
                <w:rFonts w:ascii="Menlo" w:hAnsi="Menlo"/>
                <w:sz w:val="20"/>
              </w:rPr>
              <w:t>FINAL_SUBMISSION.ipynb</w:t>
            </w:r>
            <w:r>
              <w:t xml:space="preserve"> → Section 14</w:t>
            </w:r>
          </w:p>
        </w:tc>
      </w:tr>
      <w:tr>
        <w:tc>
          <w:tcPr>
            <w:tcW w:type="dxa" w:w="5184"/>
          </w:tcPr>
          <w:p>
            <w:r/>
            <w:r>
              <w:t>No-look-ahead audit</w:t>
            </w:r>
          </w:p>
        </w:tc>
        <w:tc>
          <w:tcPr>
            <w:tcW w:type="dxa" w:w="5184"/>
          </w:tcPr>
          <w:p>
            <w:r/>
            <w:r>
              <w:rPr>
                <w:rFonts w:ascii="Menlo" w:hAnsi="Menlo"/>
                <w:sz w:val="20"/>
              </w:rPr>
              <w:t>09_no_lookahead_verification.ipynb</w:t>
            </w:r>
          </w:p>
        </w:tc>
      </w:tr>
    </w:tbl>
    <w:p>
      <w:r>
        <w:t>The final notebook also renders the numeric final-period covariance and correlation matrices directly beneath the heatmaps, so the matrix requirement is met in both chart and tabular form.</w:t>
      </w:r>
    </w:p>
    <w:p>
      <w:pPr>
        <w:pStyle w:val="Heading2"/>
      </w:pPr>
      <w:r>
        <w:t>5. Conclusion</w:t>
      </w:r>
    </w:p>
    <w:p>
      <w:r>
        <w:t>Our final submission satisfies the assignment requirements: at least two factors, monthly rebalancing, 36-month covariance estimation, 1% sleeve and portfolio volatility targeting, explicit no-look-ahead timing, embedded charts, and full portfolio-statistics outputs in the consolidated submission notebook.</w:t>
      </w:r>
    </w:p>
    <w:p>
      <w:r>
        <w:t xml:space="preserve">The central empirical conclusion is straightforward. The </w:t>
      </w:r>
      <w:r>
        <w:rPr>
          <w:b/>
        </w:rPr>
        <w:t>baseline</w:t>
      </w:r>
      <w:r>
        <w:t xml:space="preserve"> is the stronger pure in-sample benchmark, but the </w:t>
      </w:r>
      <w:r>
        <w:rPr>
          <w:b/>
        </w:rPr>
        <w:t>expanded version</w:t>
      </w:r>
      <w:r>
        <w:t xml:space="preserve"> is the more complete GTAA design because it applies the same approved momentum-plus-carry framework across a broader cross-asset universe while maintaining a very similar downside profile.</w:t>
      </w:r>
    </w:p>
    <w:p>
      <w:r>
        <w:t xml:space="preserve">Limitations and caveats are documented separately in </w:t>
      </w:r>
      <w:hyperlink r:id="rId15">
        <w:r>
          <w:rPr>
            <w:color w:val="0563C1"/>
            <w:u w:val="single"/>
          </w:rPr>
          <w:t>docs/LIMITATIONS.md</w:t>
        </w:r>
      </w:hyperlink>
      <w:r>
        <w:t>.</w:t>
      </w:r>
    </w:p>
    <w:p>
      <w:pPr>
        <w:pStyle w:val="Heading2"/>
      </w:pPr>
      <w:r>
        <w:t>6. Sources</w:t>
      </w:r>
    </w:p>
    <w:p>
      <w:pPr>
        <w:pStyle w:val="ListBullet"/>
      </w:pPr>
      <w:r>
        <w:t xml:space="preserve">Assignment brief: </w:t>
      </w:r>
      <w:hyperlink r:id="rId16">
        <w:r>
          <w:rPr>
            <w:color w:val="0563C1"/>
            <w:u w:val="single"/>
          </w:rPr>
          <w:t>docs/Project 2 .pdf</w:t>
        </w:r>
      </w:hyperlink>
    </w:p>
    <w:p>
      <w:pPr>
        <w:pStyle w:val="ListBullet"/>
      </w:pPr>
      <w:r>
        <w:t xml:space="preserve">Final submission notebook: </w:t>
      </w:r>
      <w:hyperlink r:id="rId9">
        <w:r>
          <w:rPr>
            <w:color w:val="0563C1"/>
            <w:u w:val="single"/>
          </w:rPr>
          <w:t>notebooks/FINAL_SUBMISSION.ipynb</w:t>
        </w:r>
      </w:hyperlink>
    </w:p>
    <w:p>
      <w:pPr>
        <w:pStyle w:val="ListBullet"/>
      </w:pPr>
      <w:r>
        <w:t xml:space="preserve">No-look-ahead audit: </w:t>
      </w:r>
      <w:hyperlink r:id="rId10">
        <w:r>
          <w:rPr>
            <w:color w:val="0563C1"/>
            <w:u w:val="single"/>
          </w:rPr>
          <w:t>notebooks/09_no_lookahead_verification.ipynb</w:t>
        </w:r>
      </w:hyperlink>
    </w:p>
    <w:p>
      <w:pPr>
        <w:pStyle w:val="ListBullet"/>
      </w:pPr>
      <w:r>
        <w:t xml:space="preserve">Submission notebook builder: </w:t>
      </w:r>
      <w:hyperlink r:id="rId17">
        <w:r>
          <w:rPr>
            <w:color w:val="0563C1"/>
            <w:u w:val="single"/>
          </w:rPr>
          <w:t>scripts/build_final_submission_notebook.py</w:t>
        </w:r>
      </w:hyperlink>
    </w:p>
    <w:p>
      <w:pPr>
        <w:pStyle w:val="ListBullet"/>
      </w:pPr>
      <w:r>
        <w:t xml:space="preserve">Audit notebook builder: </w:t>
      </w:r>
      <w:hyperlink r:id="rId18">
        <w:r>
          <w:rPr>
            <w:color w:val="0563C1"/>
            <w:u w:val="single"/>
          </w:rPr>
          <w:t>scripts/build_no_lookahead_notebook.py</w:t>
        </w:r>
      </w:hyperlink>
    </w:p>
    <w:p>
      <w:pPr>
        <w:pStyle w:val="ListBullet"/>
      </w:pPr>
      <w:r>
        <w:t xml:space="preserve">Expanded config: </w:t>
      </w:r>
      <w:hyperlink r:id="rId11">
        <w:r>
          <w:rPr>
            <w:color w:val="0563C1"/>
            <w:u w:val="single"/>
          </w:rPr>
          <w:t>config/project2_gtaa_expanded.yaml</w:t>
        </w:r>
      </w:hyperlink>
    </w:p>
    <w:p>
      <w:pPr>
        <w:pStyle w:val="ListBullet"/>
      </w:pPr>
      <w:r>
        <w:t xml:space="preserve">Raw input data workbook: </w:t>
      </w:r>
      <w:hyperlink r:id="rId19">
        <w:r>
          <w:rPr>
            <w:color w:val="0563C1"/>
            <w:u w:val="single"/>
          </w:rPr>
          <w:t>data/raw/multi_asset_universe.xlsx</w:t>
        </w:r>
      </w:hyperlink>
    </w:p>
    <w:p>
      <w:pPr>
        <w:pStyle w:val="ListBullet"/>
      </w:pPr>
      <w:r>
        <w:t xml:space="preserve">Code entry points: </w:t>
      </w:r>
      <w:hyperlink r:id="rId12">
        <w:r>
          <w:rPr>
            <w:color w:val="0563C1"/>
            <w:u w:val="single"/>
          </w:rPr>
          <w:t>src/gtaa/portfolio/backtester_gtaa_expanded.py</w:t>
        </w:r>
      </w:hyperlink>
      <w:r>
        <w:t xml:space="preserve">, </w:t>
      </w:r>
      <w:hyperlink r:id="rId20">
        <w:r>
          <w:rPr>
            <w:color w:val="0563C1"/>
            <w:u w:val="single"/>
          </w:rPr>
          <w:t>scripts/generate_visualizations.py</w:t>
        </w:r>
      </w:hyperlink>
    </w:p>
    <w:p>
      <w:r>
        <w:rPr>
          <w:i/>
        </w:rPr>
        <w:t>Prepared from the repository outputs as of 2026-05-08.</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Users/nigelli/Desktop/Columbia%20MAFN/26Spring/MATH5380/Final%20Project/Project%202/notebooks/FINAL_SUBMISSION.ipynb" TargetMode="External"/><Relationship Id="rId10" Type="http://schemas.openxmlformats.org/officeDocument/2006/relationships/hyperlink" Target="file:///Users/nigelli/Desktop/Columbia%20MAFN/26Spring/MATH5380/Final%20Project/Project%202/notebooks/09_no_lookahead_verification.ipynb" TargetMode="External"/><Relationship Id="rId11" Type="http://schemas.openxmlformats.org/officeDocument/2006/relationships/hyperlink" Target="file:///Users/nigelli/Desktop/Columbia%20MAFN/26Spring/MATH5380/Final%20Project/Project%202/config/project2_gtaa_expanded.yaml" TargetMode="External"/><Relationship Id="rId12" Type="http://schemas.openxmlformats.org/officeDocument/2006/relationships/hyperlink" Target="file:///Users/nigelli/Desktop/Columbia%20MAFN/26Spring/MATH5380/Final%20Project/Project%202/src/gtaa/portfolio/backtester_gtaa_expanded.py"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file:///Users/nigelli/Desktop/Columbia%20MAFN/26Spring/MATH5380/Final%20Project/Project%202/docs/LIMITATIONS.md" TargetMode="External"/><Relationship Id="rId16" Type="http://schemas.openxmlformats.org/officeDocument/2006/relationships/hyperlink" Target="file:///Users/nigelli/Desktop/Columbia%20MAFN/26Spring/MATH5380/Final%20Project/Project%202/docs/Project%202%20.pdf" TargetMode="External"/><Relationship Id="rId17" Type="http://schemas.openxmlformats.org/officeDocument/2006/relationships/hyperlink" Target="file:///Users/nigelli/Desktop/Columbia%20MAFN/26Spring/MATH5380/Final%20Project/Project%202/scripts/build_final_submission_notebook.py" TargetMode="External"/><Relationship Id="rId18" Type="http://schemas.openxmlformats.org/officeDocument/2006/relationships/hyperlink" Target="file:///Users/nigelli/Desktop/Columbia%20MAFN/26Spring/MATH5380/Final%20Project/Project%202/scripts/build_no_lookahead_notebook.py" TargetMode="External"/><Relationship Id="rId19" Type="http://schemas.openxmlformats.org/officeDocument/2006/relationships/hyperlink" Target="file:///Users/nigelli/Desktop/Columbia%20MAFN/26Spring/MATH5380/Final%20Project/Project%202/data/raw/multi_asset_universe.xlsx" TargetMode="External"/><Relationship Id="rId20" Type="http://schemas.openxmlformats.org/officeDocument/2006/relationships/hyperlink" Target="file:///Users/nigelli/Desktop/Columbia%20MAFN/26Spring/MATH5380/Final%20Project/Project%202/scripts/generate_visualization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GTAA Factor Portfolio — Project 2 Report</dc:title>
  <dc:subject>MATH 5380 Project 2</dc:subject>
  <dc:creator>MATH 5380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