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E1F3" w14:textId="488BFA78" w:rsidR="006C457B" w:rsidRDefault="00EC3CEF" w:rsidP="00EC3CEF">
      <w:pPr>
        <w:pStyle w:val="Title"/>
      </w:pPr>
      <w:bookmarkStart w:id="0" w:name="_Hlk70702896"/>
      <w:bookmarkEnd w:id="0"/>
      <w:r>
        <w:t>Value of Information Analysis Tool User’s Guide</w:t>
      </w:r>
    </w:p>
    <w:p w14:paraId="6A59045E" w14:textId="485E68FC" w:rsidR="00EC3CEF" w:rsidRDefault="00EC3CE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ja-JP"/>
        </w:rPr>
        <w:id w:val="15164167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1C5530" w14:textId="51E3DA0F" w:rsidR="00746338" w:rsidRDefault="00746338">
          <w:pPr>
            <w:pStyle w:val="TOCHeading"/>
          </w:pPr>
          <w:r>
            <w:t>Table of Contents</w:t>
          </w:r>
        </w:p>
        <w:p w14:paraId="163E5FC3" w14:textId="1793C5A9" w:rsidR="00415791" w:rsidRDefault="00746338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06147" w:history="1">
            <w:r w:rsidR="00415791" w:rsidRPr="00635C2C">
              <w:rPr>
                <w:rStyle w:val="Hyperlink"/>
                <w:noProof/>
              </w:rPr>
              <w:t>1.</w:t>
            </w:r>
            <w:r w:rsidR="00415791">
              <w:rPr>
                <w:noProof/>
              </w:rPr>
              <w:tab/>
            </w:r>
            <w:r w:rsidR="00415791" w:rsidRPr="00635C2C">
              <w:rPr>
                <w:rStyle w:val="Hyperlink"/>
                <w:noProof/>
              </w:rPr>
              <w:t>Overview</w:t>
            </w:r>
            <w:r w:rsidR="00415791">
              <w:rPr>
                <w:noProof/>
                <w:webHidden/>
              </w:rPr>
              <w:tab/>
            </w:r>
            <w:r w:rsidR="00415791">
              <w:rPr>
                <w:noProof/>
                <w:webHidden/>
              </w:rPr>
              <w:fldChar w:fldCharType="begin"/>
            </w:r>
            <w:r w:rsidR="00415791">
              <w:rPr>
                <w:noProof/>
                <w:webHidden/>
              </w:rPr>
              <w:instrText xml:space="preserve"> PAGEREF _Toc80706147 \h </w:instrText>
            </w:r>
            <w:r w:rsidR="00415791">
              <w:rPr>
                <w:noProof/>
                <w:webHidden/>
              </w:rPr>
            </w:r>
            <w:r w:rsidR="00415791">
              <w:rPr>
                <w:noProof/>
                <w:webHidden/>
              </w:rPr>
              <w:fldChar w:fldCharType="separate"/>
            </w:r>
            <w:r w:rsidR="00C55F85">
              <w:rPr>
                <w:noProof/>
                <w:webHidden/>
              </w:rPr>
              <w:t>1</w:t>
            </w:r>
            <w:r w:rsidR="00415791">
              <w:rPr>
                <w:noProof/>
                <w:webHidden/>
              </w:rPr>
              <w:fldChar w:fldCharType="end"/>
            </w:r>
          </w:hyperlink>
        </w:p>
        <w:p w14:paraId="71EC7A8D" w14:textId="3BBAE147" w:rsidR="00415791" w:rsidRDefault="00EB3B66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80706148" w:history="1">
            <w:r w:rsidR="00415791" w:rsidRPr="00635C2C">
              <w:rPr>
                <w:rStyle w:val="Hyperlink"/>
                <w:noProof/>
              </w:rPr>
              <w:t>2.</w:t>
            </w:r>
            <w:r w:rsidR="00415791">
              <w:rPr>
                <w:noProof/>
              </w:rPr>
              <w:tab/>
            </w:r>
            <w:r w:rsidR="00415791" w:rsidRPr="00635C2C">
              <w:rPr>
                <w:rStyle w:val="Hyperlink"/>
                <w:noProof/>
              </w:rPr>
              <w:t>User inputs and choices</w:t>
            </w:r>
            <w:r w:rsidR="00415791">
              <w:rPr>
                <w:noProof/>
                <w:webHidden/>
              </w:rPr>
              <w:tab/>
            </w:r>
            <w:r w:rsidR="00415791">
              <w:rPr>
                <w:noProof/>
                <w:webHidden/>
              </w:rPr>
              <w:fldChar w:fldCharType="begin"/>
            </w:r>
            <w:r w:rsidR="00415791">
              <w:rPr>
                <w:noProof/>
                <w:webHidden/>
              </w:rPr>
              <w:instrText xml:space="preserve"> PAGEREF _Toc80706148 \h </w:instrText>
            </w:r>
            <w:r w:rsidR="00415791">
              <w:rPr>
                <w:noProof/>
                <w:webHidden/>
              </w:rPr>
            </w:r>
            <w:r w:rsidR="00415791">
              <w:rPr>
                <w:noProof/>
                <w:webHidden/>
              </w:rPr>
              <w:fldChar w:fldCharType="separate"/>
            </w:r>
            <w:r w:rsidR="00C55F85">
              <w:rPr>
                <w:noProof/>
                <w:webHidden/>
              </w:rPr>
              <w:t>1</w:t>
            </w:r>
            <w:r w:rsidR="00415791">
              <w:rPr>
                <w:noProof/>
                <w:webHidden/>
              </w:rPr>
              <w:fldChar w:fldCharType="end"/>
            </w:r>
          </w:hyperlink>
        </w:p>
        <w:p w14:paraId="182674B4" w14:textId="2C6686C6" w:rsidR="00415791" w:rsidRDefault="00EB3B66">
          <w:pPr>
            <w:pStyle w:val="TO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0706149" w:history="1">
            <w:r w:rsidR="00415791" w:rsidRPr="00635C2C">
              <w:rPr>
                <w:rStyle w:val="Hyperlink"/>
                <w:noProof/>
              </w:rPr>
              <w:t>2.1.</w:t>
            </w:r>
            <w:r w:rsidR="00415791">
              <w:rPr>
                <w:noProof/>
              </w:rPr>
              <w:tab/>
            </w:r>
            <w:r w:rsidR="00415791" w:rsidRPr="00635C2C">
              <w:rPr>
                <w:rStyle w:val="Hyperlink"/>
                <w:noProof/>
              </w:rPr>
              <w:t>Decision Rules and Prior Uncertainty</w:t>
            </w:r>
            <w:r w:rsidR="00415791">
              <w:rPr>
                <w:noProof/>
                <w:webHidden/>
              </w:rPr>
              <w:tab/>
            </w:r>
            <w:r w:rsidR="00415791">
              <w:rPr>
                <w:noProof/>
                <w:webHidden/>
              </w:rPr>
              <w:fldChar w:fldCharType="begin"/>
            </w:r>
            <w:r w:rsidR="00415791">
              <w:rPr>
                <w:noProof/>
                <w:webHidden/>
              </w:rPr>
              <w:instrText xml:space="preserve"> PAGEREF _Toc80706149 \h </w:instrText>
            </w:r>
            <w:r w:rsidR="00415791">
              <w:rPr>
                <w:noProof/>
                <w:webHidden/>
              </w:rPr>
            </w:r>
            <w:r w:rsidR="00415791">
              <w:rPr>
                <w:noProof/>
                <w:webHidden/>
              </w:rPr>
              <w:fldChar w:fldCharType="separate"/>
            </w:r>
            <w:r w:rsidR="00C55F85">
              <w:rPr>
                <w:noProof/>
                <w:webHidden/>
              </w:rPr>
              <w:t>2</w:t>
            </w:r>
            <w:r w:rsidR="00415791">
              <w:rPr>
                <w:noProof/>
                <w:webHidden/>
              </w:rPr>
              <w:fldChar w:fldCharType="end"/>
            </w:r>
          </w:hyperlink>
        </w:p>
        <w:p w14:paraId="1657CC13" w14:textId="500D06A5" w:rsidR="00415791" w:rsidRDefault="00EB3B66">
          <w:pPr>
            <w:pStyle w:val="TOC3"/>
            <w:tabs>
              <w:tab w:val="left" w:pos="1320"/>
              <w:tab w:val="right" w:leader="dot" w:pos="10790"/>
            </w:tabs>
            <w:rPr>
              <w:noProof/>
            </w:rPr>
          </w:pPr>
          <w:hyperlink w:anchor="_Toc80706150" w:history="1">
            <w:r w:rsidR="00415791" w:rsidRPr="00635C2C">
              <w:rPr>
                <w:rStyle w:val="Hyperlink"/>
                <w:noProof/>
              </w:rPr>
              <w:t>2.1.1.</w:t>
            </w:r>
            <w:r w:rsidR="00415791">
              <w:rPr>
                <w:noProof/>
              </w:rPr>
              <w:tab/>
            </w:r>
            <w:r w:rsidR="00415791" w:rsidRPr="00635C2C">
              <w:rPr>
                <w:rStyle w:val="Hyperlink"/>
                <w:noProof/>
              </w:rPr>
              <w:t>Decision Rules</w:t>
            </w:r>
            <w:r w:rsidR="00415791">
              <w:rPr>
                <w:noProof/>
                <w:webHidden/>
              </w:rPr>
              <w:tab/>
            </w:r>
            <w:r w:rsidR="00415791">
              <w:rPr>
                <w:noProof/>
                <w:webHidden/>
              </w:rPr>
              <w:fldChar w:fldCharType="begin"/>
            </w:r>
            <w:r w:rsidR="00415791">
              <w:rPr>
                <w:noProof/>
                <w:webHidden/>
              </w:rPr>
              <w:instrText xml:space="preserve"> PAGEREF _Toc80706150 \h </w:instrText>
            </w:r>
            <w:r w:rsidR="00415791">
              <w:rPr>
                <w:noProof/>
                <w:webHidden/>
              </w:rPr>
            </w:r>
            <w:r w:rsidR="00415791">
              <w:rPr>
                <w:noProof/>
                <w:webHidden/>
              </w:rPr>
              <w:fldChar w:fldCharType="separate"/>
            </w:r>
            <w:r w:rsidR="00C55F85">
              <w:rPr>
                <w:noProof/>
                <w:webHidden/>
              </w:rPr>
              <w:t>2</w:t>
            </w:r>
            <w:r w:rsidR="00415791">
              <w:rPr>
                <w:noProof/>
                <w:webHidden/>
              </w:rPr>
              <w:fldChar w:fldCharType="end"/>
            </w:r>
          </w:hyperlink>
        </w:p>
        <w:p w14:paraId="413CAE99" w14:textId="7D22A923" w:rsidR="00415791" w:rsidRDefault="00EB3B66">
          <w:pPr>
            <w:pStyle w:val="TOC3"/>
            <w:tabs>
              <w:tab w:val="left" w:pos="1320"/>
              <w:tab w:val="right" w:leader="dot" w:pos="10790"/>
            </w:tabs>
            <w:rPr>
              <w:noProof/>
            </w:rPr>
          </w:pPr>
          <w:hyperlink w:anchor="_Toc80706151" w:history="1">
            <w:r w:rsidR="00415791" w:rsidRPr="00635C2C">
              <w:rPr>
                <w:rStyle w:val="Hyperlink"/>
                <w:noProof/>
              </w:rPr>
              <w:t>2.1.2.</w:t>
            </w:r>
            <w:r w:rsidR="00415791">
              <w:rPr>
                <w:noProof/>
              </w:rPr>
              <w:tab/>
            </w:r>
            <w:r w:rsidR="00415791" w:rsidRPr="00635C2C">
              <w:rPr>
                <w:rStyle w:val="Hyperlink"/>
                <w:noProof/>
              </w:rPr>
              <w:t>Prior Hyperparameters – Toxicity</w:t>
            </w:r>
            <w:r w:rsidR="00415791">
              <w:rPr>
                <w:noProof/>
                <w:webHidden/>
              </w:rPr>
              <w:tab/>
            </w:r>
            <w:r w:rsidR="00415791">
              <w:rPr>
                <w:noProof/>
                <w:webHidden/>
              </w:rPr>
              <w:fldChar w:fldCharType="begin"/>
            </w:r>
            <w:r w:rsidR="00415791">
              <w:rPr>
                <w:noProof/>
                <w:webHidden/>
              </w:rPr>
              <w:instrText xml:space="preserve"> PAGEREF _Toc80706151 \h </w:instrText>
            </w:r>
            <w:r w:rsidR="00415791">
              <w:rPr>
                <w:noProof/>
                <w:webHidden/>
              </w:rPr>
            </w:r>
            <w:r w:rsidR="00415791">
              <w:rPr>
                <w:noProof/>
                <w:webHidden/>
              </w:rPr>
              <w:fldChar w:fldCharType="separate"/>
            </w:r>
            <w:r w:rsidR="00C55F85">
              <w:rPr>
                <w:noProof/>
                <w:webHidden/>
              </w:rPr>
              <w:t>3</w:t>
            </w:r>
            <w:r w:rsidR="00415791">
              <w:rPr>
                <w:noProof/>
                <w:webHidden/>
              </w:rPr>
              <w:fldChar w:fldCharType="end"/>
            </w:r>
          </w:hyperlink>
        </w:p>
        <w:p w14:paraId="5002F82D" w14:textId="1114E1BF" w:rsidR="00415791" w:rsidRDefault="00EB3B66">
          <w:pPr>
            <w:pStyle w:val="TOC3"/>
            <w:tabs>
              <w:tab w:val="left" w:pos="1320"/>
              <w:tab w:val="right" w:leader="dot" w:pos="10790"/>
            </w:tabs>
            <w:rPr>
              <w:noProof/>
            </w:rPr>
          </w:pPr>
          <w:hyperlink w:anchor="_Toc80706152" w:history="1">
            <w:r w:rsidR="00415791" w:rsidRPr="00635C2C">
              <w:rPr>
                <w:rStyle w:val="Hyperlink"/>
                <w:noProof/>
              </w:rPr>
              <w:t>2.1.3.</w:t>
            </w:r>
            <w:r w:rsidR="00415791">
              <w:rPr>
                <w:noProof/>
              </w:rPr>
              <w:tab/>
            </w:r>
            <w:r w:rsidR="00415791" w:rsidRPr="00635C2C">
              <w:rPr>
                <w:rStyle w:val="Hyperlink"/>
                <w:noProof/>
              </w:rPr>
              <w:t>Prior Hyperparameters – Exposure</w:t>
            </w:r>
            <w:r w:rsidR="00415791">
              <w:rPr>
                <w:noProof/>
                <w:webHidden/>
              </w:rPr>
              <w:tab/>
            </w:r>
            <w:r w:rsidR="00415791">
              <w:rPr>
                <w:noProof/>
                <w:webHidden/>
              </w:rPr>
              <w:fldChar w:fldCharType="begin"/>
            </w:r>
            <w:r w:rsidR="00415791">
              <w:rPr>
                <w:noProof/>
                <w:webHidden/>
              </w:rPr>
              <w:instrText xml:space="preserve"> PAGEREF _Toc80706152 \h </w:instrText>
            </w:r>
            <w:r w:rsidR="00415791">
              <w:rPr>
                <w:noProof/>
                <w:webHidden/>
              </w:rPr>
            </w:r>
            <w:r w:rsidR="00415791">
              <w:rPr>
                <w:noProof/>
                <w:webHidden/>
              </w:rPr>
              <w:fldChar w:fldCharType="separate"/>
            </w:r>
            <w:r w:rsidR="00C55F85">
              <w:rPr>
                <w:noProof/>
                <w:webHidden/>
              </w:rPr>
              <w:t>4</w:t>
            </w:r>
            <w:r w:rsidR="00415791">
              <w:rPr>
                <w:noProof/>
                <w:webHidden/>
              </w:rPr>
              <w:fldChar w:fldCharType="end"/>
            </w:r>
          </w:hyperlink>
        </w:p>
        <w:p w14:paraId="1CF7B2F6" w14:textId="4E70FC5C" w:rsidR="00415791" w:rsidRDefault="00EB3B66">
          <w:pPr>
            <w:pStyle w:val="TO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0706153" w:history="1">
            <w:r w:rsidR="00415791" w:rsidRPr="00635C2C">
              <w:rPr>
                <w:rStyle w:val="Hyperlink"/>
                <w:noProof/>
              </w:rPr>
              <w:t>2.2.</w:t>
            </w:r>
            <w:r w:rsidR="00415791">
              <w:rPr>
                <w:noProof/>
              </w:rPr>
              <w:tab/>
            </w:r>
            <w:r w:rsidR="00415791" w:rsidRPr="00635C2C">
              <w:rPr>
                <w:rStyle w:val="Hyperlink"/>
                <w:noProof/>
              </w:rPr>
              <w:t>Toxicity Testing Information</w:t>
            </w:r>
            <w:r w:rsidR="00415791">
              <w:rPr>
                <w:noProof/>
                <w:webHidden/>
              </w:rPr>
              <w:tab/>
            </w:r>
            <w:r w:rsidR="00415791">
              <w:rPr>
                <w:noProof/>
                <w:webHidden/>
              </w:rPr>
              <w:fldChar w:fldCharType="begin"/>
            </w:r>
            <w:r w:rsidR="00415791">
              <w:rPr>
                <w:noProof/>
                <w:webHidden/>
              </w:rPr>
              <w:instrText xml:space="preserve"> PAGEREF _Toc80706153 \h </w:instrText>
            </w:r>
            <w:r w:rsidR="00415791">
              <w:rPr>
                <w:noProof/>
                <w:webHidden/>
              </w:rPr>
            </w:r>
            <w:r w:rsidR="00415791">
              <w:rPr>
                <w:noProof/>
                <w:webHidden/>
              </w:rPr>
              <w:fldChar w:fldCharType="separate"/>
            </w:r>
            <w:r w:rsidR="00C55F85">
              <w:rPr>
                <w:noProof/>
                <w:webHidden/>
              </w:rPr>
              <w:t>4</w:t>
            </w:r>
            <w:r w:rsidR="00415791">
              <w:rPr>
                <w:noProof/>
                <w:webHidden/>
              </w:rPr>
              <w:fldChar w:fldCharType="end"/>
            </w:r>
          </w:hyperlink>
        </w:p>
        <w:p w14:paraId="65994E53" w14:textId="6FA62D41" w:rsidR="00415791" w:rsidRDefault="00EB3B66">
          <w:pPr>
            <w:pStyle w:val="TOC3"/>
            <w:tabs>
              <w:tab w:val="left" w:pos="1320"/>
              <w:tab w:val="right" w:leader="dot" w:pos="10790"/>
            </w:tabs>
            <w:rPr>
              <w:noProof/>
            </w:rPr>
          </w:pPr>
          <w:hyperlink w:anchor="_Toc80706154" w:history="1">
            <w:r w:rsidR="00415791" w:rsidRPr="00635C2C">
              <w:rPr>
                <w:rStyle w:val="Hyperlink"/>
                <w:noProof/>
              </w:rPr>
              <w:t>2.2.1.</w:t>
            </w:r>
            <w:r w:rsidR="00415791">
              <w:rPr>
                <w:noProof/>
              </w:rPr>
              <w:tab/>
            </w:r>
            <w:r w:rsidR="00415791" w:rsidRPr="00635C2C">
              <w:rPr>
                <w:rStyle w:val="Hyperlink"/>
                <w:noProof/>
              </w:rPr>
              <w:t>Test A</w:t>
            </w:r>
            <w:r w:rsidR="00415791">
              <w:rPr>
                <w:noProof/>
                <w:webHidden/>
              </w:rPr>
              <w:tab/>
            </w:r>
            <w:r w:rsidR="00415791">
              <w:rPr>
                <w:noProof/>
                <w:webHidden/>
              </w:rPr>
              <w:fldChar w:fldCharType="begin"/>
            </w:r>
            <w:r w:rsidR="00415791">
              <w:rPr>
                <w:noProof/>
                <w:webHidden/>
              </w:rPr>
              <w:instrText xml:space="preserve"> PAGEREF _Toc80706154 \h </w:instrText>
            </w:r>
            <w:r w:rsidR="00415791">
              <w:rPr>
                <w:noProof/>
                <w:webHidden/>
              </w:rPr>
            </w:r>
            <w:r w:rsidR="00415791">
              <w:rPr>
                <w:noProof/>
                <w:webHidden/>
              </w:rPr>
              <w:fldChar w:fldCharType="separate"/>
            </w:r>
            <w:r w:rsidR="00C55F85">
              <w:rPr>
                <w:noProof/>
                <w:webHidden/>
              </w:rPr>
              <w:t>5</w:t>
            </w:r>
            <w:r w:rsidR="00415791">
              <w:rPr>
                <w:noProof/>
                <w:webHidden/>
              </w:rPr>
              <w:fldChar w:fldCharType="end"/>
            </w:r>
          </w:hyperlink>
        </w:p>
        <w:p w14:paraId="455EA084" w14:textId="3DE744FB" w:rsidR="00415791" w:rsidRDefault="00EB3B66">
          <w:pPr>
            <w:pStyle w:val="TOC3"/>
            <w:tabs>
              <w:tab w:val="left" w:pos="1320"/>
              <w:tab w:val="right" w:leader="dot" w:pos="10790"/>
            </w:tabs>
            <w:rPr>
              <w:noProof/>
            </w:rPr>
          </w:pPr>
          <w:hyperlink w:anchor="_Toc80706155" w:history="1">
            <w:r w:rsidR="00415791" w:rsidRPr="00635C2C">
              <w:rPr>
                <w:rStyle w:val="Hyperlink"/>
                <w:noProof/>
              </w:rPr>
              <w:t>2.2.2.</w:t>
            </w:r>
            <w:r w:rsidR="00415791">
              <w:rPr>
                <w:noProof/>
              </w:rPr>
              <w:tab/>
            </w:r>
            <w:r w:rsidR="00415791" w:rsidRPr="00635C2C">
              <w:rPr>
                <w:rStyle w:val="Hyperlink"/>
                <w:noProof/>
              </w:rPr>
              <w:t>Test B</w:t>
            </w:r>
            <w:r w:rsidR="00415791">
              <w:rPr>
                <w:noProof/>
                <w:webHidden/>
              </w:rPr>
              <w:tab/>
            </w:r>
            <w:r w:rsidR="00415791">
              <w:rPr>
                <w:noProof/>
                <w:webHidden/>
              </w:rPr>
              <w:fldChar w:fldCharType="begin"/>
            </w:r>
            <w:r w:rsidR="00415791">
              <w:rPr>
                <w:noProof/>
                <w:webHidden/>
              </w:rPr>
              <w:instrText xml:space="preserve"> PAGEREF _Toc80706155 \h </w:instrText>
            </w:r>
            <w:r w:rsidR="00415791">
              <w:rPr>
                <w:noProof/>
                <w:webHidden/>
              </w:rPr>
            </w:r>
            <w:r w:rsidR="00415791">
              <w:rPr>
                <w:noProof/>
                <w:webHidden/>
              </w:rPr>
              <w:fldChar w:fldCharType="separate"/>
            </w:r>
            <w:r w:rsidR="00C55F85">
              <w:rPr>
                <w:noProof/>
                <w:webHidden/>
              </w:rPr>
              <w:t>5</w:t>
            </w:r>
            <w:r w:rsidR="00415791">
              <w:rPr>
                <w:noProof/>
                <w:webHidden/>
              </w:rPr>
              <w:fldChar w:fldCharType="end"/>
            </w:r>
          </w:hyperlink>
        </w:p>
        <w:p w14:paraId="5A40C40A" w14:textId="0E0BF466" w:rsidR="00415791" w:rsidRDefault="00EB3B66">
          <w:pPr>
            <w:pStyle w:val="TO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0706156" w:history="1">
            <w:r w:rsidR="00415791" w:rsidRPr="00635C2C">
              <w:rPr>
                <w:rStyle w:val="Hyperlink"/>
                <w:noProof/>
              </w:rPr>
              <w:t>2.3.</w:t>
            </w:r>
            <w:r w:rsidR="00415791">
              <w:rPr>
                <w:noProof/>
              </w:rPr>
              <w:tab/>
            </w:r>
            <w:r w:rsidR="00415791" w:rsidRPr="00635C2C">
              <w:rPr>
                <w:rStyle w:val="Hyperlink"/>
                <w:noProof/>
              </w:rPr>
              <w:t>Economic Parameters</w:t>
            </w:r>
            <w:r w:rsidR="00415791">
              <w:rPr>
                <w:noProof/>
                <w:webHidden/>
              </w:rPr>
              <w:tab/>
            </w:r>
            <w:r w:rsidR="00415791">
              <w:rPr>
                <w:noProof/>
                <w:webHidden/>
              </w:rPr>
              <w:fldChar w:fldCharType="begin"/>
            </w:r>
            <w:r w:rsidR="00415791">
              <w:rPr>
                <w:noProof/>
                <w:webHidden/>
              </w:rPr>
              <w:instrText xml:space="preserve"> PAGEREF _Toc80706156 \h </w:instrText>
            </w:r>
            <w:r w:rsidR="00415791">
              <w:rPr>
                <w:noProof/>
                <w:webHidden/>
              </w:rPr>
            </w:r>
            <w:r w:rsidR="00415791">
              <w:rPr>
                <w:noProof/>
                <w:webHidden/>
              </w:rPr>
              <w:fldChar w:fldCharType="separate"/>
            </w:r>
            <w:r w:rsidR="00C55F85">
              <w:rPr>
                <w:noProof/>
                <w:webHidden/>
              </w:rPr>
              <w:t>5</w:t>
            </w:r>
            <w:r w:rsidR="00415791">
              <w:rPr>
                <w:noProof/>
                <w:webHidden/>
              </w:rPr>
              <w:fldChar w:fldCharType="end"/>
            </w:r>
          </w:hyperlink>
        </w:p>
        <w:p w14:paraId="01AD968B" w14:textId="01EF9672" w:rsidR="00415791" w:rsidRDefault="00EB3B66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80706157" w:history="1">
            <w:r w:rsidR="00415791" w:rsidRPr="00635C2C">
              <w:rPr>
                <w:rStyle w:val="Hyperlink"/>
                <w:noProof/>
              </w:rPr>
              <w:t>3.</w:t>
            </w:r>
            <w:r w:rsidR="00415791">
              <w:rPr>
                <w:noProof/>
              </w:rPr>
              <w:tab/>
            </w:r>
            <w:r w:rsidR="00415791" w:rsidRPr="00635C2C">
              <w:rPr>
                <w:rStyle w:val="Hyperlink"/>
                <w:noProof/>
              </w:rPr>
              <w:t>Importing Data and Running the Analysis</w:t>
            </w:r>
            <w:r w:rsidR="00415791">
              <w:rPr>
                <w:noProof/>
                <w:webHidden/>
              </w:rPr>
              <w:tab/>
            </w:r>
            <w:r w:rsidR="00415791">
              <w:rPr>
                <w:noProof/>
                <w:webHidden/>
              </w:rPr>
              <w:fldChar w:fldCharType="begin"/>
            </w:r>
            <w:r w:rsidR="00415791">
              <w:rPr>
                <w:noProof/>
                <w:webHidden/>
              </w:rPr>
              <w:instrText xml:space="preserve"> PAGEREF _Toc80706157 \h </w:instrText>
            </w:r>
            <w:r w:rsidR="00415791">
              <w:rPr>
                <w:noProof/>
                <w:webHidden/>
              </w:rPr>
            </w:r>
            <w:r w:rsidR="00415791">
              <w:rPr>
                <w:noProof/>
                <w:webHidden/>
              </w:rPr>
              <w:fldChar w:fldCharType="separate"/>
            </w:r>
            <w:r w:rsidR="00C55F85">
              <w:rPr>
                <w:noProof/>
                <w:webHidden/>
              </w:rPr>
              <w:t>6</w:t>
            </w:r>
            <w:r w:rsidR="00415791">
              <w:rPr>
                <w:noProof/>
                <w:webHidden/>
              </w:rPr>
              <w:fldChar w:fldCharType="end"/>
            </w:r>
          </w:hyperlink>
        </w:p>
        <w:p w14:paraId="7B74FCFA" w14:textId="304978FD" w:rsidR="00415791" w:rsidRDefault="00EB3B66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80706158" w:history="1">
            <w:r w:rsidR="00415791" w:rsidRPr="00635C2C">
              <w:rPr>
                <w:rStyle w:val="Hyperlink"/>
                <w:noProof/>
              </w:rPr>
              <w:t>4.</w:t>
            </w:r>
            <w:r w:rsidR="00415791">
              <w:rPr>
                <w:noProof/>
              </w:rPr>
              <w:tab/>
            </w:r>
            <w:r w:rsidR="00415791" w:rsidRPr="00635C2C">
              <w:rPr>
                <w:rStyle w:val="Hyperlink"/>
                <w:noProof/>
              </w:rPr>
              <w:t>Output</w:t>
            </w:r>
            <w:r w:rsidR="00415791">
              <w:rPr>
                <w:noProof/>
                <w:webHidden/>
              </w:rPr>
              <w:tab/>
            </w:r>
            <w:r w:rsidR="00415791">
              <w:rPr>
                <w:noProof/>
                <w:webHidden/>
              </w:rPr>
              <w:fldChar w:fldCharType="begin"/>
            </w:r>
            <w:r w:rsidR="00415791">
              <w:rPr>
                <w:noProof/>
                <w:webHidden/>
              </w:rPr>
              <w:instrText xml:space="preserve"> PAGEREF _Toc80706158 \h </w:instrText>
            </w:r>
            <w:r w:rsidR="00415791">
              <w:rPr>
                <w:noProof/>
                <w:webHidden/>
              </w:rPr>
            </w:r>
            <w:r w:rsidR="00415791">
              <w:rPr>
                <w:noProof/>
                <w:webHidden/>
              </w:rPr>
              <w:fldChar w:fldCharType="separate"/>
            </w:r>
            <w:r w:rsidR="00C55F85">
              <w:rPr>
                <w:noProof/>
                <w:webHidden/>
              </w:rPr>
              <w:t>8</w:t>
            </w:r>
            <w:r w:rsidR="00415791">
              <w:rPr>
                <w:noProof/>
                <w:webHidden/>
              </w:rPr>
              <w:fldChar w:fldCharType="end"/>
            </w:r>
          </w:hyperlink>
        </w:p>
        <w:p w14:paraId="521A02A6" w14:textId="32A31FA4" w:rsidR="00415791" w:rsidRDefault="00EB3B66">
          <w:pPr>
            <w:pStyle w:val="TO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0706159" w:history="1">
            <w:r w:rsidR="00415791" w:rsidRPr="00635C2C">
              <w:rPr>
                <w:rStyle w:val="Hyperlink"/>
                <w:noProof/>
              </w:rPr>
              <w:t>4.1.</w:t>
            </w:r>
            <w:r w:rsidR="00415791">
              <w:rPr>
                <w:noProof/>
              </w:rPr>
              <w:tab/>
            </w:r>
            <w:r w:rsidR="00415791" w:rsidRPr="00635C2C">
              <w:rPr>
                <w:rStyle w:val="Hyperlink"/>
                <w:noProof/>
              </w:rPr>
              <w:t>VOI Summary Table 1</w:t>
            </w:r>
            <w:r w:rsidR="00415791">
              <w:rPr>
                <w:noProof/>
                <w:webHidden/>
              </w:rPr>
              <w:tab/>
            </w:r>
            <w:r w:rsidR="00415791">
              <w:rPr>
                <w:noProof/>
                <w:webHidden/>
              </w:rPr>
              <w:fldChar w:fldCharType="begin"/>
            </w:r>
            <w:r w:rsidR="00415791">
              <w:rPr>
                <w:noProof/>
                <w:webHidden/>
              </w:rPr>
              <w:instrText xml:space="preserve"> PAGEREF _Toc80706159 \h </w:instrText>
            </w:r>
            <w:r w:rsidR="00415791">
              <w:rPr>
                <w:noProof/>
                <w:webHidden/>
              </w:rPr>
            </w:r>
            <w:r w:rsidR="00415791">
              <w:rPr>
                <w:noProof/>
                <w:webHidden/>
              </w:rPr>
              <w:fldChar w:fldCharType="separate"/>
            </w:r>
            <w:r w:rsidR="00C55F85">
              <w:rPr>
                <w:noProof/>
                <w:webHidden/>
              </w:rPr>
              <w:t>8</w:t>
            </w:r>
            <w:r w:rsidR="00415791">
              <w:rPr>
                <w:noProof/>
                <w:webHidden/>
              </w:rPr>
              <w:fldChar w:fldCharType="end"/>
            </w:r>
          </w:hyperlink>
        </w:p>
        <w:p w14:paraId="4AE48693" w14:textId="567AEECF" w:rsidR="00415791" w:rsidRDefault="00EB3B66">
          <w:pPr>
            <w:pStyle w:val="TO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0706160" w:history="1">
            <w:r w:rsidR="00415791" w:rsidRPr="00635C2C">
              <w:rPr>
                <w:rStyle w:val="Hyperlink"/>
                <w:noProof/>
              </w:rPr>
              <w:t>4.2.</w:t>
            </w:r>
            <w:r w:rsidR="00415791">
              <w:rPr>
                <w:noProof/>
              </w:rPr>
              <w:tab/>
            </w:r>
            <w:r w:rsidR="00415791" w:rsidRPr="00635C2C">
              <w:rPr>
                <w:rStyle w:val="Hyperlink"/>
                <w:noProof/>
              </w:rPr>
              <w:t>VOI Summary Table 2</w:t>
            </w:r>
            <w:r w:rsidR="00415791">
              <w:rPr>
                <w:noProof/>
                <w:webHidden/>
              </w:rPr>
              <w:tab/>
            </w:r>
            <w:r w:rsidR="00415791">
              <w:rPr>
                <w:noProof/>
                <w:webHidden/>
              </w:rPr>
              <w:fldChar w:fldCharType="begin"/>
            </w:r>
            <w:r w:rsidR="00415791">
              <w:rPr>
                <w:noProof/>
                <w:webHidden/>
              </w:rPr>
              <w:instrText xml:space="preserve"> PAGEREF _Toc80706160 \h </w:instrText>
            </w:r>
            <w:r w:rsidR="00415791">
              <w:rPr>
                <w:noProof/>
                <w:webHidden/>
              </w:rPr>
            </w:r>
            <w:r w:rsidR="00415791">
              <w:rPr>
                <w:noProof/>
                <w:webHidden/>
              </w:rPr>
              <w:fldChar w:fldCharType="separate"/>
            </w:r>
            <w:r w:rsidR="00C55F85">
              <w:rPr>
                <w:noProof/>
                <w:webHidden/>
              </w:rPr>
              <w:t>8</w:t>
            </w:r>
            <w:r w:rsidR="00415791">
              <w:rPr>
                <w:noProof/>
                <w:webHidden/>
              </w:rPr>
              <w:fldChar w:fldCharType="end"/>
            </w:r>
          </w:hyperlink>
        </w:p>
        <w:p w14:paraId="3C0BA14D" w14:textId="3A63EF00" w:rsidR="00415791" w:rsidRDefault="00EB3B66">
          <w:pPr>
            <w:pStyle w:val="TO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0706161" w:history="1">
            <w:r w:rsidR="00415791" w:rsidRPr="00635C2C">
              <w:rPr>
                <w:rStyle w:val="Hyperlink"/>
                <w:noProof/>
              </w:rPr>
              <w:t>4.3.</w:t>
            </w:r>
            <w:r w:rsidR="00415791">
              <w:rPr>
                <w:noProof/>
              </w:rPr>
              <w:tab/>
            </w:r>
            <w:r w:rsidR="00415791" w:rsidRPr="00635C2C">
              <w:rPr>
                <w:rStyle w:val="Hyperlink"/>
                <w:noProof/>
              </w:rPr>
              <w:t>VOI Summary Table 3</w:t>
            </w:r>
            <w:r w:rsidR="00415791">
              <w:rPr>
                <w:noProof/>
                <w:webHidden/>
              </w:rPr>
              <w:tab/>
            </w:r>
            <w:r w:rsidR="00415791">
              <w:rPr>
                <w:noProof/>
                <w:webHidden/>
              </w:rPr>
              <w:fldChar w:fldCharType="begin"/>
            </w:r>
            <w:r w:rsidR="00415791">
              <w:rPr>
                <w:noProof/>
                <w:webHidden/>
              </w:rPr>
              <w:instrText xml:space="preserve"> PAGEREF _Toc80706161 \h </w:instrText>
            </w:r>
            <w:r w:rsidR="00415791">
              <w:rPr>
                <w:noProof/>
                <w:webHidden/>
              </w:rPr>
            </w:r>
            <w:r w:rsidR="00415791">
              <w:rPr>
                <w:noProof/>
                <w:webHidden/>
              </w:rPr>
              <w:fldChar w:fldCharType="separate"/>
            </w:r>
            <w:r w:rsidR="00C55F85">
              <w:rPr>
                <w:noProof/>
                <w:webHidden/>
              </w:rPr>
              <w:t>9</w:t>
            </w:r>
            <w:r w:rsidR="00415791">
              <w:rPr>
                <w:noProof/>
                <w:webHidden/>
              </w:rPr>
              <w:fldChar w:fldCharType="end"/>
            </w:r>
          </w:hyperlink>
        </w:p>
        <w:p w14:paraId="2537D008" w14:textId="46063C27" w:rsidR="00415791" w:rsidRDefault="00EB3B66">
          <w:pPr>
            <w:pStyle w:val="TO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0706162" w:history="1">
            <w:r w:rsidR="00415791" w:rsidRPr="00635C2C">
              <w:rPr>
                <w:rStyle w:val="Hyperlink"/>
                <w:noProof/>
              </w:rPr>
              <w:t>4.4.</w:t>
            </w:r>
            <w:r w:rsidR="00415791">
              <w:rPr>
                <w:noProof/>
              </w:rPr>
              <w:tab/>
            </w:r>
            <w:r w:rsidR="00415791" w:rsidRPr="00635C2C">
              <w:rPr>
                <w:rStyle w:val="Hyperlink"/>
                <w:noProof/>
              </w:rPr>
              <w:t>Response Surface Analysis</w:t>
            </w:r>
            <w:r w:rsidR="00415791">
              <w:rPr>
                <w:noProof/>
                <w:webHidden/>
              </w:rPr>
              <w:tab/>
            </w:r>
            <w:r w:rsidR="00415791">
              <w:rPr>
                <w:noProof/>
                <w:webHidden/>
              </w:rPr>
              <w:fldChar w:fldCharType="begin"/>
            </w:r>
            <w:r w:rsidR="00415791">
              <w:rPr>
                <w:noProof/>
                <w:webHidden/>
              </w:rPr>
              <w:instrText xml:space="preserve"> PAGEREF _Toc80706162 \h </w:instrText>
            </w:r>
            <w:r w:rsidR="00415791">
              <w:rPr>
                <w:noProof/>
                <w:webHidden/>
              </w:rPr>
            </w:r>
            <w:r w:rsidR="00415791">
              <w:rPr>
                <w:noProof/>
                <w:webHidden/>
              </w:rPr>
              <w:fldChar w:fldCharType="separate"/>
            </w:r>
            <w:r w:rsidR="00C55F85">
              <w:rPr>
                <w:noProof/>
                <w:webHidden/>
              </w:rPr>
              <w:t>9</w:t>
            </w:r>
            <w:r w:rsidR="00415791">
              <w:rPr>
                <w:noProof/>
                <w:webHidden/>
              </w:rPr>
              <w:fldChar w:fldCharType="end"/>
            </w:r>
          </w:hyperlink>
        </w:p>
        <w:p w14:paraId="69347A33" w14:textId="0DFF60B9" w:rsidR="00415791" w:rsidRDefault="00EB3B66">
          <w:pPr>
            <w:pStyle w:val="TO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80706163" w:history="1">
            <w:r w:rsidR="00415791" w:rsidRPr="00635C2C">
              <w:rPr>
                <w:rStyle w:val="Hyperlink"/>
                <w:noProof/>
              </w:rPr>
              <w:t>4.5.</w:t>
            </w:r>
            <w:r w:rsidR="00415791">
              <w:rPr>
                <w:noProof/>
              </w:rPr>
              <w:tab/>
            </w:r>
            <w:r w:rsidR="00415791" w:rsidRPr="00635C2C">
              <w:rPr>
                <w:rStyle w:val="Hyperlink"/>
                <w:noProof/>
              </w:rPr>
              <w:t>List of input parameters</w:t>
            </w:r>
            <w:r w:rsidR="00415791">
              <w:rPr>
                <w:noProof/>
                <w:webHidden/>
              </w:rPr>
              <w:tab/>
            </w:r>
            <w:r w:rsidR="00415791">
              <w:rPr>
                <w:noProof/>
                <w:webHidden/>
              </w:rPr>
              <w:fldChar w:fldCharType="begin"/>
            </w:r>
            <w:r w:rsidR="00415791">
              <w:rPr>
                <w:noProof/>
                <w:webHidden/>
              </w:rPr>
              <w:instrText xml:space="preserve"> PAGEREF _Toc80706163 \h </w:instrText>
            </w:r>
            <w:r w:rsidR="00415791">
              <w:rPr>
                <w:noProof/>
                <w:webHidden/>
              </w:rPr>
            </w:r>
            <w:r w:rsidR="00415791">
              <w:rPr>
                <w:noProof/>
                <w:webHidden/>
              </w:rPr>
              <w:fldChar w:fldCharType="separate"/>
            </w:r>
            <w:r w:rsidR="00C55F85">
              <w:rPr>
                <w:noProof/>
                <w:webHidden/>
              </w:rPr>
              <w:t>9</w:t>
            </w:r>
            <w:r w:rsidR="00415791">
              <w:rPr>
                <w:noProof/>
                <w:webHidden/>
              </w:rPr>
              <w:fldChar w:fldCharType="end"/>
            </w:r>
          </w:hyperlink>
        </w:p>
        <w:p w14:paraId="42FCFDA9" w14:textId="1D40F8AE" w:rsidR="00746338" w:rsidRDefault="00746338">
          <w:r>
            <w:rPr>
              <w:b/>
              <w:bCs/>
              <w:noProof/>
            </w:rPr>
            <w:fldChar w:fldCharType="end"/>
          </w:r>
        </w:p>
      </w:sdtContent>
    </w:sdt>
    <w:p w14:paraId="353C8F36" w14:textId="77777777" w:rsidR="003629F8" w:rsidRDefault="003629F8" w:rsidP="00EC3CEF">
      <w:pPr>
        <w:rPr>
          <w:b/>
          <w:bCs/>
          <w:color w:val="FF0000"/>
        </w:rPr>
        <w:sectPr w:rsidR="003629F8" w:rsidSect="00415791"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5875AF90" w14:textId="2B251A74" w:rsidR="00EC3CEF" w:rsidRDefault="00EC3CEF" w:rsidP="003629F8">
      <w:pPr>
        <w:pStyle w:val="Heading1"/>
        <w:numPr>
          <w:ilvl w:val="0"/>
          <w:numId w:val="4"/>
        </w:numPr>
      </w:pPr>
      <w:bookmarkStart w:id="1" w:name="_Toc80706147"/>
      <w:r>
        <w:lastRenderedPageBreak/>
        <w:t>Overview</w:t>
      </w:r>
      <w:bookmarkEnd w:id="1"/>
    </w:p>
    <w:p w14:paraId="49749447" w14:textId="3CD047C5" w:rsidR="00E10E57" w:rsidRPr="00E10E57" w:rsidRDefault="00E10E57" w:rsidP="00E10E57">
      <w:r>
        <w:t>The</w:t>
      </w:r>
      <w:r w:rsidR="00E62BBD">
        <w:t xml:space="preserve"> flow of the</w:t>
      </w:r>
      <w:r>
        <w:t xml:space="preserve"> value of information (VOI) framework </w:t>
      </w:r>
      <w:r w:rsidR="00E62BBD">
        <w:t>and its components are given in Figure 1.</w:t>
      </w:r>
      <w:r>
        <w:t xml:space="preserve"> </w:t>
      </w:r>
      <w:r w:rsidR="00E62BBD">
        <w:t>Briefly, the VOI analysis compares the expected costs by (1) making regulatory decision</w:t>
      </w:r>
      <w:r w:rsidR="009212E4">
        <w:t>s</w:t>
      </w:r>
      <w:r w:rsidR="00E62BBD">
        <w:t xml:space="preserve"> solely based on currently available toxicity and exposure information, or (2) making regulatory decision</w:t>
      </w:r>
      <w:r w:rsidR="009212E4">
        <w:t>s</w:t>
      </w:r>
      <w:r w:rsidR="00E62BBD">
        <w:t xml:space="preserve"> after additional toxicity information</w:t>
      </w:r>
      <w:r w:rsidR="008E1901">
        <w:t xml:space="preserve"> is collected and analyzed</w:t>
      </w:r>
      <w:r w:rsidR="00E62BBD">
        <w:t xml:space="preserve">. </w:t>
      </w:r>
      <w:r w:rsidR="008E1901">
        <w:t>The additional toxicity testing information will affect the risk assessment</w:t>
      </w:r>
      <w:r w:rsidR="00E62BBD">
        <w:t xml:space="preserve"> </w:t>
      </w:r>
      <w:r w:rsidR="008E1901">
        <w:t>and hence the corresponding regulatory decision</w:t>
      </w:r>
      <w:r w:rsidR="009212E4">
        <w:t>,</w:t>
      </w:r>
      <w:r w:rsidR="008E1901">
        <w:t xml:space="preserve"> as the uncertainty about </w:t>
      </w:r>
      <w:r w:rsidR="009212E4">
        <w:t xml:space="preserve">the </w:t>
      </w:r>
      <w:r w:rsidR="008E1901">
        <w:t xml:space="preserve">toxicity of </w:t>
      </w:r>
      <w:r w:rsidR="009212E4">
        <w:t>a</w:t>
      </w:r>
      <w:r w:rsidR="008E1901">
        <w:t xml:space="preserve"> chemical</w:t>
      </w:r>
      <w:r w:rsidR="009212E4">
        <w:t xml:space="preserve"> of interest</w:t>
      </w:r>
      <w:r w:rsidR="008E1901">
        <w:t xml:space="preserve"> is reduced. The expected costs based on </w:t>
      </w:r>
      <w:r w:rsidR="008E1901" w:rsidRPr="008E1901">
        <w:rPr>
          <w:i/>
          <w:iCs/>
        </w:rPr>
        <w:t>a priori</w:t>
      </w:r>
      <w:r w:rsidR="009212E4">
        <w:rPr>
          <w:i/>
          <w:iCs/>
        </w:rPr>
        <w:t>-</w:t>
      </w:r>
      <w:r w:rsidR="008E1901">
        <w:t xml:space="preserve"> and </w:t>
      </w:r>
      <w:r w:rsidR="008E1901">
        <w:rPr>
          <w:i/>
          <w:iCs/>
        </w:rPr>
        <w:t xml:space="preserve">a </w:t>
      </w:r>
      <w:proofErr w:type="gramStart"/>
      <w:r w:rsidR="008E1901">
        <w:rPr>
          <w:i/>
          <w:iCs/>
        </w:rPr>
        <w:t xml:space="preserve">posteriori </w:t>
      </w:r>
      <w:r w:rsidR="008E1901">
        <w:t>decisions</w:t>
      </w:r>
      <w:proofErr w:type="gramEnd"/>
      <w:r w:rsidR="008E1901">
        <w:t xml:space="preserve"> will then be compared, incorporating additional factors such as delay in decision-making due to additional testing, and the cost of such testing. The framework then </w:t>
      </w:r>
      <w:r w:rsidR="009212E4">
        <w:t>calculates VOI metrics such as</w:t>
      </w:r>
      <w:r w:rsidR="008E1901">
        <w:t xml:space="preserve"> the expected net benefit of sampling (ENBS) and return on investment (ROI) </w:t>
      </w:r>
      <w:r w:rsidR="009212E4">
        <w:t>to determine whether collecting additional toxicity information is favourable, and if there is more than one toxicity testing methodology, which methodology yields the greatest value.</w:t>
      </w:r>
    </w:p>
    <w:p w14:paraId="62750298" w14:textId="77777777" w:rsidR="00E62BBD" w:rsidRDefault="00431B69" w:rsidP="00E62BBD">
      <w:pPr>
        <w:keepNext/>
        <w:jc w:val="center"/>
      </w:pPr>
      <w:r w:rsidRPr="00431B69">
        <w:rPr>
          <w:noProof/>
        </w:rPr>
        <w:drawing>
          <wp:inline distT="0" distB="0" distL="0" distR="0" wp14:anchorId="2D1DF03F" wp14:editId="3C4ECF96">
            <wp:extent cx="6278400" cy="3465091"/>
            <wp:effectExtent l="19050" t="19050" r="27305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400" cy="3465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7AD4A" w14:textId="3E4FEBDB" w:rsidR="003F181A" w:rsidRDefault="00E62BBD" w:rsidP="00E62BBD">
      <w:pPr>
        <w:pStyle w:val="Caption"/>
        <w:jc w:val="center"/>
      </w:pPr>
      <w:r>
        <w:t xml:space="preserve">Figure </w:t>
      </w:r>
      <w:r w:rsidR="00EB3B66">
        <w:fldChar w:fldCharType="begin"/>
      </w:r>
      <w:r w:rsidR="00EB3B66">
        <w:instrText xml:space="preserve"> SEQ Figure \* ARABIC </w:instrText>
      </w:r>
      <w:r w:rsidR="00EB3B66">
        <w:fldChar w:fldCharType="separate"/>
      </w:r>
      <w:r w:rsidR="00C55F85">
        <w:rPr>
          <w:noProof/>
        </w:rPr>
        <w:t>1</w:t>
      </w:r>
      <w:r w:rsidR="00EB3B66">
        <w:rPr>
          <w:noProof/>
        </w:rPr>
        <w:fldChar w:fldCharType="end"/>
      </w:r>
      <w:r>
        <w:t>: Components for a value of information analyses of toxicity-testing methodologies and associated information flows</w:t>
      </w:r>
      <w:r w:rsidR="00C71219">
        <w:t>.</w:t>
      </w:r>
    </w:p>
    <w:p w14:paraId="0E45EF64" w14:textId="77777777" w:rsidR="00C71219" w:rsidRPr="00C71219" w:rsidRDefault="00C71219" w:rsidP="00C71219"/>
    <w:p w14:paraId="0016F7F9" w14:textId="432C4DE7" w:rsidR="00EC3CEF" w:rsidRDefault="003F181A" w:rsidP="003629F8">
      <w:pPr>
        <w:pStyle w:val="Heading1"/>
        <w:numPr>
          <w:ilvl w:val="0"/>
          <w:numId w:val="4"/>
        </w:numPr>
      </w:pPr>
      <w:bookmarkStart w:id="2" w:name="_Toc80706148"/>
      <w:r>
        <w:t>User inputs and choices</w:t>
      </w:r>
      <w:bookmarkEnd w:id="2"/>
    </w:p>
    <w:p w14:paraId="1ADF690D" w14:textId="77777777" w:rsidR="00E10E57" w:rsidRDefault="003F181A" w:rsidP="003F181A">
      <w:r>
        <w:t>The sections below refer to tabs.</w:t>
      </w:r>
    </w:p>
    <w:p w14:paraId="3016198E" w14:textId="77777777" w:rsidR="00C71219" w:rsidRDefault="00E10E57" w:rsidP="00C71219">
      <w:pPr>
        <w:keepNext/>
        <w:jc w:val="center"/>
      </w:pPr>
      <w:r w:rsidRPr="00E10E57">
        <w:rPr>
          <w:noProof/>
        </w:rPr>
        <w:drawing>
          <wp:inline distT="0" distB="0" distL="0" distR="0" wp14:anchorId="73FAD89C" wp14:editId="6E96E1B0">
            <wp:extent cx="5515200" cy="432000"/>
            <wp:effectExtent l="19050" t="19050" r="9525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200" cy="43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AE183" w14:textId="05CF8818" w:rsidR="003F181A" w:rsidRDefault="00C71219" w:rsidP="00C71219">
      <w:pPr>
        <w:pStyle w:val="Caption"/>
        <w:jc w:val="center"/>
      </w:pPr>
      <w:r>
        <w:t xml:space="preserve">Figure </w:t>
      </w:r>
      <w:r w:rsidR="00EB3B66">
        <w:fldChar w:fldCharType="begin"/>
      </w:r>
      <w:r w:rsidR="00EB3B66">
        <w:instrText xml:space="preserve"> SEQ Figure \* ARABIC </w:instrText>
      </w:r>
      <w:r w:rsidR="00EB3B66">
        <w:fldChar w:fldCharType="separate"/>
      </w:r>
      <w:r w:rsidR="00C55F85">
        <w:rPr>
          <w:noProof/>
        </w:rPr>
        <w:t>2</w:t>
      </w:r>
      <w:r w:rsidR="00EB3B66">
        <w:rPr>
          <w:noProof/>
        </w:rPr>
        <w:fldChar w:fldCharType="end"/>
      </w:r>
      <w:r>
        <w:t>: User interface tabs.</w:t>
      </w:r>
    </w:p>
    <w:p w14:paraId="52FABE0C" w14:textId="1C0AF0F6" w:rsidR="003F181A" w:rsidRDefault="003F181A" w:rsidP="003F181A"/>
    <w:p w14:paraId="6ACAC87C" w14:textId="007A22F4" w:rsidR="003F6876" w:rsidRPr="003F6876" w:rsidRDefault="003F6876" w:rsidP="003F6876"/>
    <w:p w14:paraId="689B9F50" w14:textId="4137F9B4" w:rsidR="003F6876" w:rsidRDefault="003F6876" w:rsidP="003F6876">
      <w:pPr>
        <w:tabs>
          <w:tab w:val="left" w:pos="989"/>
        </w:tabs>
      </w:pPr>
      <w:r>
        <w:tab/>
      </w:r>
    </w:p>
    <w:p w14:paraId="1B7347DC" w14:textId="5209E340" w:rsidR="003F6876" w:rsidRPr="003F6876" w:rsidRDefault="003F6876" w:rsidP="001E0713">
      <w:pPr>
        <w:tabs>
          <w:tab w:val="left" w:pos="989"/>
          <w:tab w:val="left" w:pos="9833"/>
        </w:tabs>
      </w:pPr>
      <w:r>
        <w:tab/>
      </w:r>
      <w:r w:rsidR="001E0713">
        <w:tab/>
      </w:r>
    </w:p>
    <w:p w14:paraId="7A6DE7BE" w14:textId="4B50D13C" w:rsidR="00EC3CEF" w:rsidRDefault="00EC3CEF" w:rsidP="00E10E57">
      <w:pPr>
        <w:pStyle w:val="Heading2"/>
        <w:numPr>
          <w:ilvl w:val="1"/>
          <w:numId w:val="4"/>
        </w:numPr>
      </w:pPr>
      <w:bookmarkStart w:id="3" w:name="_Toc80706149"/>
      <w:r>
        <w:lastRenderedPageBreak/>
        <w:t>Decision Rules and Prior Uncertainty</w:t>
      </w:r>
      <w:bookmarkEnd w:id="3"/>
    </w:p>
    <w:p w14:paraId="4F3EE624" w14:textId="4C9BD4EF" w:rsidR="00082AAD" w:rsidRDefault="00082AAD" w:rsidP="00E10E57">
      <w:pPr>
        <w:pStyle w:val="Heading3"/>
        <w:numPr>
          <w:ilvl w:val="2"/>
          <w:numId w:val="4"/>
        </w:numPr>
      </w:pPr>
      <w:bookmarkStart w:id="4" w:name="_Toc80706150"/>
      <w:r>
        <w:t>Decision Rules</w:t>
      </w:r>
      <w:bookmarkEnd w:id="4"/>
    </w:p>
    <w:p w14:paraId="59940EDD" w14:textId="22A33E71" w:rsidR="00B65075" w:rsidRDefault="00B65075" w:rsidP="00B65075">
      <w:r>
        <w:t>In this application, the user can choose from 2 decision-making styles: target-risk based, and benefit-risk based decision-making.</w:t>
      </w:r>
    </w:p>
    <w:p w14:paraId="6B9F3004" w14:textId="7967A0A5" w:rsidR="00B65075" w:rsidRDefault="00B65075" w:rsidP="00B65075">
      <w:r>
        <w:t>The target-risk decision maker (TRDM) focuses on reducing risk when it exceeds the target risk level (TRL), while the benefit-risk decision maker (BRDM) is motivated to minimize the total social cost (TSC) by balancing the control cost and the achieved health benefit.</w:t>
      </w:r>
    </w:p>
    <w:p w14:paraId="63598964" w14:textId="7CF8BBE8" w:rsidR="00DC2BAD" w:rsidRDefault="00B65075" w:rsidP="00B65075">
      <w:proofErr w:type="gramStart"/>
      <w:r>
        <w:t>In order to</w:t>
      </w:r>
      <w:proofErr w:type="gramEnd"/>
      <w:r>
        <w:t xml:space="preserve"> be confident that the population risk is below the TRL, the TRDM would decide that no regulation is required if the upper quantile of the uncertainty distribution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UCL</m:t>
            </m:r>
          </m:sub>
        </m:sSub>
      </m:oMath>
      <w:r>
        <w:t>) of the average population risk to be below the TRL. Conversely, if the lower quantile of this distribution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LCL</m:t>
            </m:r>
          </m:sub>
        </m:sSub>
      </m:oMath>
      <w:r>
        <w:t xml:space="preserve">) was above the TRL, the TRDL would take action to reduce risk. If the uncertainty interval between 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LCL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UCL</m:t>
                </m:r>
              </m:sub>
            </m:sSub>
          </m:e>
        </m:d>
      </m:oMath>
      <w:r>
        <w:t xml:space="preserve"> includes the TRL, the TRDM would require additional data to decide whether risk reduction action is required.</w:t>
      </w:r>
      <w:r w:rsidR="00EF3EA3" w:rsidRPr="00EF3EA3">
        <w:t xml:space="preserve"> </w:t>
      </w:r>
    </w:p>
    <w:p w14:paraId="15EE5380" w14:textId="77777777" w:rsidR="00C71219" w:rsidRDefault="00EF3EA3" w:rsidP="00C71219">
      <w:pPr>
        <w:keepNext/>
        <w:jc w:val="center"/>
      </w:pPr>
      <w:r w:rsidRPr="00EF3EA3">
        <w:rPr>
          <w:noProof/>
        </w:rPr>
        <w:drawing>
          <wp:inline distT="0" distB="0" distL="0" distR="0" wp14:anchorId="17D2D33D" wp14:editId="49DD06ED">
            <wp:extent cx="6858000" cy="2351987"/>
            <wp:effectExtent l="19050" t="19050" r="190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1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6FB37" w14:textId="2DDA839F" w:rsidR="00C71219" w:rsidRPr="00C71219" w:rsidRDefault="00C71219" w:rsidP="00C71219">
      <w:pPr>
        <w:pStyle w:val="Caption"/>
        <w:jc w:val="center"/>
      </w:pPr>
      <w:r>
        <w:t xml:space="preserve">Figure </w:t>
      </w:r>
      <w:r w:rsidR="00EB3B66">
        <w:fldChar w:fldCharType="begin"/>
      </w:r>
      <w:r w:rsidR="00EB3B66">
        <w:instrText xml:space="preserve"> SEQ Figure \* ARABIC </w:instrText>
      </w:r>
      <w:r w:rsidR="00EB3B66">
        <w:fldChar w:fldCharType="separate"/>
      </w:r>
      <w:r w:rsidR="00C55F85">
        <w:rPr>
          <w:noProof/>
        </w:rPr>
        <w:t>3</w:t>
      </w:r>
      <w:r w:rsidR="00EB3B66">
        <w:rPr>
          <w:noProof/>
        </w:rPr>
        <w:fldChar w:fldCharType="end"/>
      </w:r>
      <w:r>
        <w:t>: User inputs regarding decision rules and a plot of prior uncertainty distribution about risk.</w:t>
      </w:r>
    </w:p>
    <w:p w14:paraId="0035CAC2" w14:textId="075B909F" w:rsidR="00EC3CEF" w:rsidRDefault="00EC3CEF" w:rsidP="00EF3EA3">
      <w:pPr>
        <w:pStyle w:val="ListParagraph"/>
        <w:numPr>
          <w:ilvl w:val="0"/>
          <w:numId w:val="1"/>
        </w:numPr>
      </w:pPr>
      <w:r w:rsidRPr="00EF3EA3">
        <w:rPr>
          <w:b/>
          <w:bCs/>
        </w:rPr>
        <w:t>Decision Rule:</w:t>
      </w:r>
      <w:r>
        <w:t xml:space="preserve"> </w:t>
      </w:r>
      <w:r w:rsidR="00B65075">
        <w:t>choose the decision-making style used for VOI analysis.</w:t>
      </w:r>
    </w:p>
    <w:p w14:paraId="729AFF46" w14:textId="2793BD84" w:rsidR="00EC3CEF" w:rsidRDefault="00EC3CEF" w:rsidP="00EF3EA3">
      <w:pPr>
        <w:pStyle w:val="ListParagraph"/>
        <w:numPr>
          <w:ilvl w:val="0"/>
          <w:numId w:val="1"/>
        </w:numPr>
      </w:pPr>
      <w:r w:rsidRPr="00EF3EA3">
        <w:rPr>
          <w:b/>
          <w:bCs/>
        </w:rPr>
        <w:t>Inclusion of Response Surface:</w:t>
      </w:r>
      <w:r w:rsidR="00AF3B1D">
        <w:t xml:space="preserve"> </w:t>
      </w:r>
      <w:r w:rsidR="005D2B3F">
        <w:t>C</w:t>
      </w:r>
      <w:r w:rsidR="00B65075">
        <w:t>hoose whether response surface analysis be included. Response surface provides a visual representation of how the EVDSI changes across varying level of uncertainty reduction and testing time.</w:t>
      </w:r>
      <w:r w:rsidR="00AF3B1D">
        <w:t xml:space="preserve"> If decision rule is set to BRDM, coarse</w:t>
      </w:r>
      <w:r w:rsidR="00B65075">
        <w:t>-</w:t>
      </w:r>
      <w:r w:rsidR="00AF3B1D">
        <w:t>grid response surface will require about 10 minutes to compile, while fine</w:t>
      </w:r>
      <w:r w:rsidR="00B65075">
        <w:t>-</w:t>
      </w:r>
      <w:r w:rsidR="00AF3B1D">
        <w:t xml:space="preserve">grid response surface will take more than 40 minutes to produce the report. </w:t>
      </w:r>
      <w:r w:rsidR="009D2E8C">
        <w:t xml:space="preserve">For the </w:t>
      </w:r>
      <w:r w:rsidR="00FE1D0D">
        <w:t xml:space="preserve">choice of </w:t>
      </w:r>
      <w:r w:rsidR="009D2E8C">
        <w:t>TRDM, inclusion of a response surface will result in minimal delay regardless of the level of resolution.</w:t>
      </w:r>
    </w:p>
    <w:p w14:paraId="0572A592" w14:textId="33CC792E" w:rsidR="001A3254" w:rsidRDefault="00D80EA9" w:rsidP="001A3254">
      <w:pPr>
        <w:pStyle w:val="ListParagraph"/>
        <w:numPr>
          <w:ilvl w:val="0"/>
          <w:numId w:val="1"/>
        </w:numPr>
      </w:pPr>
      <m:oMath>
        <m:r>
          <m:rPr>
            <m:sty m:val="b"/>
          </m:rPr>
          <w:rPr>
            <w:rFonts w:ascii="Cambria Math" w:hAnsi="Cambria Math"/>
          </w:rPr>
          <m:t>TRL</m:t>
        </m:r>
      </m:oMath>
      <w:r w:rsidR="001A3254" w:rsidRPr="00EF3EA3">
        <w:rPr>
          <w:b/>
          <w:bCs/>
        </w:rPr>
        <w:t xml:space="preserve"> –Target Risk Level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b/>
                <w:bCs/>
              </w:rPr>
            </m:ctrlPr>
          </m:sub>
        </m:sSub>
      </m:oMath>
      <w:r w:rsidR="001A3254" w:rsidRPr="00EF3EA3">
        <w:rPr>
          <w:b/>
          <w:bCs/>
        </w:rPr>
        <w:t>):</w:t>
      </w:r>
      <w:r w:rsidR="001A3254">
        <w:t xml:space="preserve"> </w:t>
      </w:r>
      <w:r w:rsidR="005D2B3F" w:rsidRPr="005D2B3F">
        <w:rPr>
          <w:i/>
          <w:iCs/>
        </w:rPr>
        <w:t>This parameter is used only under TRDM decision rule</w:t>
      </w:r>
      <w:r w:rsidR="005D2B3F">
        <w:t xml:space="preserve">. </w:t>
      </w:r>
      <w:r w:rsidR="00F849BE">
        <w:t>S</w:t>
      </w:r>
      <w:r w:rsidR="001A3254">
        <w:t xml:space="preserve">pecify the TRL to which the risk estimate is compared to determine whether exposure mitigation is required. Specified on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sub>
        </m:sSub>
      </m:oMath>
      <w:r w:rsidR="001A3254">
        <w:t xml:space="preserve"> scale. </w:t>
      </w:r>
    </w:p>
    <w:p w14:paraId="6F4524F7" w14:textId="53FC4AD2" w:rsidR="00000DD8" w:rsidRDefault="00EF3EA3" w:rsidP="00EF3EA3">
      <w:pPr>
        <w:pStyle w:val="ListParagraph"/>
        <w:numPr>
          <w:ilvl w:val="0"/>
          <w:numId w:val="1"/>
        </w:numPr>
      </w:pPr>
      <m:oMath>
        <m:r>
          <m:rPr>
            <m:sty m:val="b"/>
          </m:rPr>
          <w:rPr>
            <w:rFonts w:ascii="Cambria Math" w:hAnsi="Cambria Math"/>
          </w:rPr>
          <m:t>UCL</m:t>
        </m:r>
      </m:oMath>
      <w:r w:rsidR="00000DD8" w:rsidRPr="00EF3EA3">
        <w:rPr>
          <w:b/>
          <w:bCs/>
        </w:rPr>
        <w:t xml:space="preserve"> – Upper Percentile for the Uncertainty Distribution about Risk:</w:t>
      </w:r>
      <w:r w:rsidR="005D2B3F">
        <w:t xml:space="preserve"> </w:t>
      </w:r>
      <w:r w:rsidR="005D2B3F" w:rsidRPr="005D2B3F">
        <w:rPr>
          <w:i/>
          <w:iCs/>
        </w:rPr>
        <w:t>This parameter is used only under TRDM decision rule</w:t>
      </w:r>
      <w:r w:rsidR="005D2B3F">
        <w:t>. Sp</w:t>
      </w:r>
      <w:r w:rsidR="00000DD8">
        <w:t>ecify the value to which the risk of a chemical is deemed “safe” compared to the TRL.</w:t>
      </w:r>
      <w:r w:rsidR="00000DD8" w:rsidRPr="00FF7B1D">
        <w:t xml:space="preserve"> </w:t>
      </w:r>
      <w:r w:rsidR="00000DD8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UCL</m:t>
            </m:r>
          </m:sub>
        </m:sSub>
        <m:r>
          <w:rPr>
            <w:rFonts w:ascii="Cambria Math" w:hAnsi="Cambria Math"/>
          </w:rPr>
          <m:t>≤TRL</m:t>
        </m:r>
      </m:oMath>
      <w:r w:rsidR="00000DD8">
        <w:t>, the exposure mitigation is implemented under TRDM decision rule.</w:t>
      </w:r>
    </w:p>
    <w:p w14:paraId="73E63D50" w14:textId="63673FB0" w:rsidR="00AF3B1D" w:rsidRDefault="00EF3EA3" w:rsidP="00EF3EA3">
      <w:pPr>
        <w:pStyle w:val="ListParagraph"/>
        <w:numPr>
          <w:ilvl w:val="0"/>
          <w:numId w:val="1"/>
        </w:numPr>
      </w:pPr>
      <m:oMath>
        <m:r>
          <m:rPr>
            <m:sty m:val="b"/>
          </m:rPr>
          <w:rPr>
            <w:rFonts w:ascii="Cambria Math" w:hAnsi="Cambria Math"/>
          </w:rPr>
          <m:t>LCL</m:t>
        </m:r>
      </m:oMath>
      <w:r w:rsidR="00000DD8" w:rsidRPr="00EF3EA3">
        <w:rPr>
          <w:b/>
          <w:bCs/>
        </w:rPr>
        <w:t xml:space="preserve"> – Lower</w:t>
      </w:r>
      <w:r w:rsidR="00AF3B1D" w:rsidRPr="00EF3EA3">
        <w:rPr>
          <w:b/>
          <w:bCs/>
        </w:rPr>
        <w:t xml:space="preserve"> Percentile for the Uncertainty Distribution about Risk:</w:t>
      </w:r>
      <w:r w:rsidR="00AF3B1D">
        <w:t xml:space="preserve"> </w:t>
      </w:r>
      <w:r w:rsidR="005D2B3F" w:rsidRPr="005D2B3F">
        <w:rPr>
          <w:i/>
          <w:iCs/>
        </w:rPr>
        <w:t>This parameter is used only under TRDM decision rule</w:t>
      </w:r>
      <w:r w:rsidR="005D2B3F">
        <w:t>. A</w:t>
      </w:r>
      <w:r w:rsidR="00FF7B1D">
        <w:t xml:space="preserve"> user-specified value to which the risk of a chemical is deemed “unsafe” compared to the TRL.</w:t>
      </w:r>
      <w:r w:rsidR="00FF7B1D" w:rsidRPr="00FF7B1D">
        <w:t xml:space="preserve"> </w:t>
      </w:r>
      <w:r w:rsidR="00FF7B1D"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LCL</m:t>
            </m:r>
          </m:sub>
        </m:sSub>
        <m:r>
          <w:rPr>
            <w:rFonts w:ascii="Cambria Math" w:hAnsi="Cambria Math"/>
          </w:rPr>
          <m:t>&gt;TRL</m:t>
        </m:r>
      </m:oMath>
      <w:r w:rsidR="00FF7B1D">
        <w:t>, the exposure mitigation is implemented under TRDM decision rule.</w:t>
      </w:r>
    </w:p>
    <w:p w14:paraId="619C726D" w14:textId="4977887A" w:rsidR="00FF7B1D" w:rsidRPr="00AF3B1D" w:rsidRDefault="00FF7B1D" w:rsidP="00EF3EA3">
      <w:pPr>
        <w:pStyle w:val="ListParagraph"/>
        <w:numPr>
          <w:ilvl w:val="0"/>
          <w:numId w:val="1"/>
        </w:numPr>
      </w:pPr>
      <w:r w:rsidRPr="00EF3EA3">
        <w:rPr>
          <w:b/>
          <w:bCs/>
        </w:rPr>
        <w:t>Prior Uncertainty Distribution</w:t>
      </w:r>
      <w:r w:rsidR="001E0713">
        <w:rPr>
          <w:b/>
          <w:bCs/>
        </w:rPr>
        <w:t xml:space="preserve"> for risk</w:t>
      </w:r>
      <w:r w:rsidRPr="00EF3EA3">
        <w:rPr>
          <w:b/>
          <w:bCs/>
        </w:rPr>
        <w:t>:</w:t>
      </w:r>
      <w:r>
        <w:t xml:space="preserve"> A plot of uncertainty distribution </w:t>
      </w:r>
      <w:r w:rsidR="009852C4">
        <w:t xml:space="preserve">about </w:t>
      </w:r>
      <m:oMath>
        <m:r>
          <w:rPr>
            <w:rFonts w:ascii="Cambria Math" w:hAnsi="Cambria Math"/>
          </w:rPr>
          <m:t>R</m:t>
        </m:r>
      </m:oMath>
      <w:r w:rsidR="009852C4">
        <w:t xml:space="preserve"> </w:t>
      </w:r>
      <w:r>
        <w:t>without performing additional toxicity testing about a chemica</w:t>
      </w:r>
      <w:r w:rsidR="001E0713">
        <w:t>l</w:t>
      </w:r>
      <w:r w:rsidR="00F849BE">
        <w:t>.</w:t>
      </w:r>
      <w:r w:rsidR="00000DD8" w:rsidRPr="00000DD8">
        <w:t xml:space="preserve"> </w:t>
      </w:r>
      <w:r w:rsidR="00000DD8">
        <w:t xml:space="preserve">Given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sub>
        </m:sSub>
      </m:oMath>
      <w:r w:rsidR="00000DD8">
        <w:t xml:space="preserve"> scale.</w:t>
      </w:r>
    </w:p>
    <w:p w14:paraId="405EBCD7" w14:textId="6BBE3290" w:rsidR="00EC3CEF" w:rsidRDefault="00EC3CEF" w:rsidP="00F849BE">
      <w:pPr>
        <w:ind w:firstLine="720"/>
      </w:pPr>
    </w:p>
    <w:p w14:paraId="7AA6B033" w14:textId="79629363" w:rsidR="00082AAD" w:rsidRDefault="00082AAD" w:rsidP="00E10E57">
      <w:pPr>
        <w:pStyle w:val="Heading3"/>
        <w:numPr>
          <w:ilvl w:val="2"/>
          <w:numId w:val="4"/>
        </w:numPr>
      </w:pPr>
      <w:bookmarkStart w:id="5" w:name="_Toc80706151"/>
      <w:r>
        <w:lastRenderedPageBreak/>
        <w:t xml:space="preserve">Prior Hyperparameters </w:t>
      </w:r>
      <w:r w:rsidR="003D531A">
        <w:t>–</w:t>
      </w:r>
      <w:r>
        <w:t xml:space="preserve"> Toxicity</w:t>
      </w:r>
      <w:bookmarkEnd w:id="5"/>
    </w:p>
    <w:p w14:paraId="38423BDF" w14:textId="0224F2BC" w:rsidR="003D531A" w:rsidRDefault="003D531A" w:rsidP="003D531A">
      <w:r>
        <w:t>The population average risk (</w:t>
      </w:r>
      <m:oMath>
        <m:r>
          <w:rPr>
            <w:rFonts w:ascii="Cambria Math" w:hAnsi="Cambria Math"/>
          </w:rPr>
          <m:t>R</m:t>
        </m:r>
      </m:oMath>
      <w:r>
        <w:t>) of a chemical is given as a function of its toxicity and population exposure. In this application we assume that the toxicity (i.e., dose-response model) is based on log-normal distribution</w:t>
      </w:r>
      <w:r w:rsidR="00691742">
        <w:t xml:space="preserve"> with its geometric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tox</m:t>
            </m:r>
          </m:sub>
        </m:sSub>
      </m:oMath>
      <w:r w:rsidR="00691742">
        <w:t xml:space="preserve"> and geometric standard deviation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tox</m:t>
            </m:r>
          </m:sub>
        </m:sSub>
      </m:oMath>
      <w:r>
        <w:t xml:space="preserve">. </w:t>
      </w:r>
      <w:r w:rsidR="00691742">
        <w:t xml:space="preserve">Then, </w:t>
      </w:r>
      <w:r>
        <w:t xml:space="preserve">the toxicity of a chemical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tox</m:t>
            </m:r>
          </m:sub>
        </m:sSub>
        <m:r>
          <w:rPr>
            <w:rFonts w:ascii="Cambria Math" w:hAnsi="Cambria Math"/>
          </w:rPr>
          <m:t>(x|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tox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 w:rsidR="00691742">
        <w:t xml:space="preserve">– </w:t>
      </w:r>
      <w:r>
        <w:t xml:space="preserve">the probability of an adverse effect to be present </w:t>
      </w:r>
      <w:r w:rsidR="00691742">
        <w:t xml:space="preserve">at an exposure level </w:t>
      </w:r>
      <m:oMath>
        <m:r>
          <w:rPr>
            <w:rFonts w:ascii="Cambria Math" w:hAnsi="Cambria Math"/>
          </w:rPr>
          <m:t>x</m:t>
        </m:r>
      </m:oMath>
      <w:r w:rsidR="00691742">
        <w:t xml:space="preserve"> – is given by the CDF of a lognormal distribution with parameters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tox</m:t>
            </m:r>
          </m:sub>
        </m:sSub>
        <m:r>
          <w:rPr>
            <w:rFonts w:ascii="Cambria Math" w:hAnsi="Cambria Math"/>
          </w:rPr>
          <m:t>)</m:t>
        </m:r>
      </m:oMath>
      <w:r w:rsidR="00691742">
        <w:t>.</w:t>
      </w:r>
    </w:p>
    <w:p w14:paraId="7CE04482" w14:textId="6D4DB9C6" w:rsidR="00DC2BAD" w:rsidRDefault="00691742" w:rsidP="003D531A">
      <w:r>
        <w:t xml:space="preserve">Furthermore, we also assume that </w:t>
      </w:r>
      <w:r w:rsidR="00065676">
        <w:t>we do not have perfect information about the toxicity of the chemical of interest at this point. T</w:t>
      </w:r>
      <w:r>
        <w:t xml:space="preserve">he uncertainty surrounding these parameters </w:t>
      </w:r>
      <w:r w:rsidR="00065676">
        <w:t>is assumed also to</w:t>
      </w:r>
      <w:r>
        <w:t xml:space="preserve"> follow a lognormal distribution. For the unknown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tox</m:t>
            </m:r>
          </m:sub>
        </m:sSub>
      </m:oMath>
      <w:r>
        <w:t>, this means that the standard deviation of this uncertainty distribution is given by</w:t>
      </w:r>
      <w:r w:rsidR="0006567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tox</m:t>
            </m:r>
          </m:sub>
        </m:sSub>
        <m:r>
          <w:rPr>
            <w:rFonts w:ascii="Cambria Math" w:hAnsi="Cambria Math"/>
          </w:rPr>
          <m:t>)</m:t>
        </m:r>
      </m:oMath>
      <w:r w:rsidR="00065676">
        <w:t>.</w:t>
      </w:r>
    </w:p>
    <w:p w14:paraId="07B1BBBA" w14:textId="77777777" w:rsidR="00C71219" w:rsidRDefault="00EF3EA3" w:rsidP="00C71219">
      <w:pPr>
        <w:keepNext/>
        <w:jc w:val="center"/>
      </w:pPr>
      <w:r w:rsidRPr="00EF3EA3">
        <w:rPr>
          <w:noProof/>
        </w:rPr>
        <w:drawing>
          <wp:inline distT="0" distB="0" distL="0" distR="0" wp14:anchorId="195AB4F5" wp14:editId="1C5BFF2E">
            <wp:extent cx="6858000" cy="1940574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0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77E54" w14:textId="24F9855B" w:rsidR="00065676" w:rsidRPr="003D531A" w:rsidRDefault="00C71219" w:rsidP="00C71219">
      <w:pPr>
        <w:pStyle w:val="Caption"/>
        <w:jc w:val="center"/>
      </w:pPr>
      <w:r>
        <w:t xml:space="preserve">Figure </w:t>
      </w:r>
      <w:r w:rsidR="00EB3B66">
        <w:fldChar w:fldCharType="begin"/>
      </w:r>
      <w:r w:rsidR="00EB3B66">
        <w:instrText xml:space="preserve"> SEQ Figure \* ARABIC </w:instrText>
      </w:r>
      <w:r w:rsidR="00EB3B66">
        <w:fldChar w:fldCharType="separate"/>
      </w:r>
      <w:r w:rsidR="00C55F85">
        <w:rPr>
          <w:noProof/>
        </w:rPr>
        <w:t>4</w:t>
      </w:r>
      <w:r w:rsidR="00EB3B66">
        <w:rPr>
          <w:noProof/>
        </w:rPr>
        <w:fldChar w:fldCharType="end"/>
      </w:r>
      <w:r>
        <w:t>: User inputs about toxicity parameters and a plot of prior uncertainty distribution about mean toxicity.</w:t>
      </w:r>
    </w:p>
    <w:p w14:paraId="5F0E6893" w14:textId="73C49D3E" w:rsidR="00FF7B1D" w:rsidRDefault="00EB3B66" w:rsidP="00EF3EA3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tox</m:t>
            </m:r>
          </m:sub>
        </m:sSub>
      </m:oMath>
      <w:r w:rsidR="00065676" w:rsidRPr="00EF3EA3">
        <w:rPr>
          <w:b/>
          <w:bCs/>
        </w:rPr>
        <w:t xml:space="preserve"> – </w:t>
      </w:r>
      <w:r w:rsidR="00FF7B1D" w:rsidRPr="00EF3EA3">
        <w:rPr>
          <w:b/>
          <w:bCs/>
        </w:rPr>
        <w:t xml:space="preserve">Geometric Mean of the </w:t>
      </w:r>
      <m:oMath>
        <m:r>
          <m:rPr>
            <m:sty m:val="b"/>
          </m:rP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50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b/>
                <w:bCs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FF7B1D" w:rsidRPr="00EF3EA3">
        <w:rPr>
          <w:b/>
          <w:bCs/>
        </w:rPr>
        <w:t>:</w:t>
      </w:r>
      <w:r w:rsidR="00FF7B1D">
        <w:t xml:space="preserve"> </w:t>
      </w:r>
      <w:r w:rsidR="005D2B3F">
        <w:t>T</w:t>
      </w:r>
      <w:r w:rsidR="00641176">
        <w:t xml:space="preserve">he dose corresponding to the population average risk of 50%. Given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sub>
        </m:sSub>
      </m:oMath>
      <w:r w:rsidR="00641176">
        <w:t xml:space="preserve"> scale.</w:t>
      </w:r>
    </w:p>
    <w:p w14:paraId="4FBA05E9" w14:textId="2B152949" w:rsidR="009A4501" w:rsidRDefault="009852C4" w:rsidP="00EF3EA3">
      <w:pPr>
        <w:pStyle w:val="ListParagraph"/>
        <w:numPr>
          <w:ilvl w:val="0"/>
          <w:numId w:val="1"/>
        </w:numPr>
      </w:pPr>
      <m:oMath>
        <m:r>
          <m:rPr>
            <m:sty m:val="b"/>
          </m:rPr>
          <w:rPr>
            <w:rFonts w:ascii="Cambria Math" w:hAnsi="Cambria Math"/>
          </w:rPr>
          <m:t>Range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tox</m:t>
                    </m:r>
                  </m:sub>
                </m:sSub>
              </m:e>
            </m:d>
          </m:e>
        </m:d>
      </m:oMath>
      <w:r>
        <w:rPr>
          <w:b/>
          <w:bCs/>
        </w:rPr>
        <w:t xml:space="preserve"> – </w:t>
      </w:r>
      <w:r w:rsidR="009A4501" w:rsidRPr="00EF3EA3">
        <w:rPr>
          <w:b/>
          <w:bCs/>
        </w:rPr>
        <w:t xml:space="preserve">Range of Uncertainty about the </w:t>
      </w:r>
      <m:oMath>
        <m:r>
          <m:rPr>
            <m:sty m:val="bi"/>
          </m:rP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9A4501" w:rsidRPr="00EF3EA3">
        <w:rPr>
          <w:b/>
          <w:bCs/>
        </w:rPr>
        <w:t>(OM):</w:t>
      </w:r>
      <w:r w:rsidR="009A4501">
        <w:t xml:space="preserve"> </w:t>
      </w:r>
      <w:r w:rsidR="005D2B3F">
        <w:t>T</w:t>
      </w:r>
      <w:r w:rsidR="009A4501">
        <w:t xml:space="preserve">he range is defined to cover </w:t>
      </w:r>
      <w:r w:rsidR="00DC2BAD">
        <w:t>99.975% of the uncertainty distribution</w:t>
      </w:r>
      <w:r w:rsidR="00595099">
        <w:t xml:space="preserve">, corresponding to </w:t>
      </w:r>
      <m:oMath>
        <m:r>
          <w:rPr>
            <w:rFonts w:ascii="Cambria Math" w:hAnsi="Cambria Math"/>
          </w:rPr>
          <m:t>7.32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tox</m:t>
                </m:r>
              </m:sub>
            </m:sSub>
          </m:e>
        </m:d>
      </m:oMath>
      <w:r w:rsidR="00DC2BAD">
        <w:t xml:space="preserve">. </w:t>
      </w:r>
      <w:r w:rsidR="009A4501">
        <w:t xml:space="preserve"> Under the assumption that</w:t>
      </w:r>
      <w:r w:rsidR="00065676">
        <w:t xml:space="preserve"> the uncertainty about</w:t>
      </w:r>
      <w:r w:rsidR="009A450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tox</m:t>
            </m:r>
          </m:sub>
        </m:sSub>
      </m:oMath>
      <w:r w:rsidR="009A4501">
        <w:t xml:space="preserve"> follows a lognormal distribution, this range translates to </w:t>
      </w:r>
      <m:oMath>
        <m:r>
          <m:rPr>
            <m:sty m:val="p"/>
          </m:rPr>
          <w:rPr>
            <w:rFonts w:ascii="Cambria Math" w:hAnsi="Cambria Math"/>
          </w:rPr>
          <m:t>range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tox</m:t>
            </m:r>
          </m:sub>
        </m:sSub>
        <m:r>
          <w:rPr>
            <w:rFonts w:ascii="Cambria Math" w:hAnsi="Cambria Math"/>
          </w:rPr>
          <m:t>)</m:t>
        </m:r>
      </m:oMath>
      <w:r w:rsidR="00065676">
        <w:t>.</w:t>
      </w:r>
    </w:p>
    <w:p w14:paraId="73BD8A22" w14:textId="60E4A897" w:rsidR="009A4501" w:rsidRDefault="00EB3B66" w:rsidP="00EF3EA3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tox</m:t>
            </m:r>
          </m:sub>
        </m:sSub>
      </m:oMath>
      <w:r w:rsidR="00065676" w:rsidRPr="00EF3EA3">
        <w:rPr>
          <w:b/>
          <w:bCs/>
        </w:rPr>
        <w:t xml:space="preserve"> – </w:t>
      </w:r>
      <w:r w:rsidR="009A4501" w:rsidRPr="00EF3EA3">
        <w:rPr>
          <w:b/>
          <w:bCs/>
        </w:rPr>
        <w:t xml:space="preserve">Geometric Mean of the Standard Deviation of Toxicity </w:t>
      </w:r>
      <m:oMath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b/>
                <w:bCs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9A4501" w:rsidRPr="00EF3EA3">
        <w:rPr>
          <w:b/>
          <w:bCs/>
        </w:rPr>
        <w:t>:</w:t>
      </w:r>
      <w:r w:rsidR="009A4501">
        <w:t xml:space="preserve"> </w:t>
      </w:r>
      <w:r w:rsidR="005D2B3F">
        <w:t>U</w:t>
      </w:r>
      <w:r w:rsidR="009A4501">
        <w:t>nder the assumption that the toxicity (i.e., dose-response model) follows the CDF of a lognormal distribution, this parameter governs the steepness of the dose-response curve.</w:t>
      </w:r>
      <w:r w:rsidR="009A4501" w:rsidRPr="009A4501">
        <w:t xml:space="preserve"> </w:t>
      </w:r>
      <w:r w:rsidR="009A4501">
        <w:t xml:space="preserve">Given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sub>
        </m:sSub>
      </m:oMath>
      <w:r w:rsidR="009A4501">
        <w:t xml:space="preserve"> scale.</w:t>
      </w:r>
    </w:p>
    <w:p w14:paraId="79C2387D" w14:textId="024B28D3" w:rsidR="009A4501" w:rsidRDefault="009852C4" w:rsidP="00EF3EA3">
      <w:pPr>
        <w:pStyle w:val="ListParagraph"/>
        <w:numPr>
          <w:ilvl w:val="0"/>
          <w:numId w:val="1"/>
        </w:numPr>
      </w:pPr>
      <m:oMath>
        <m:r>
          <m:rPr>
            <m:sty m:val="b"/>
          </m:rPr>
          <w:rPr>
            <w:rFonts w:ascii="Cambria Math" w:hAnsi="Cambria Math"/>
          </w:rPr>
          <m:t>Range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tox</m:t>
                    </m:r>
                  </m:sub>
                </m:sSub>
              </m:e>
            </m:d>
          </m:e>
        </m:d>
      </m:oMath>
      <w:r w:rsidR="007411ED">
        <w:rPr>
          <w:b/>
          <w:bCs/>
        </w:rPr>
        <w:t xml:space="preserve"> – </w:t>
      </w:r>
      <w:r>
        <w:rPr>
          <w:b/>
          <w:bCs/>
        </w:rPr>
        <w:t xml:space="preserve"> </w:t>
      </w:r>
      <w:r w:rsidR="009A4501" w:rsidRPr="00EF3EA3">
        <w:rPr>
          <w:b/>
          <w:bCs/>
        </w:rPr>
        <w:t>Range of Uncertainty about the Standard Deviation of Toxicity (OM):</w:t>
      </w:r>
      <w:r w:rsidR="009A4501">
        <w:t xml:space="preserve"> </w:t>
      </w:r>
      <w:r w:rsidR="005D2B3F">
        <w:t>T</w:t>
      </w:r>
      <w:r w:rsidR="009A4501">
        <w:t xml:space="preserve">he range is defined to cover </w:t>
      </w:r>
      <w:r w:rsidR="00DC2BAD">
        <w:t>99.975% of the uncertainty distribution</w:t>
      </w:r>
      <w:r w:rsidR="00595099">
        <w:t xml:space="preserve"> (corresponding to </w:t>
      </w:r>
      <m:oMath>
        <m:r>
          <w:rPr>
            <w:rFonts w:ascii="Cambria Math" w:hAnsi="Cambria Math"/>
          </w:rPr>
          <m:t>7.32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tox</m:t>
                </m:r>
              </m:sub>
            </m:sSub>
          </m:e>
        </m:d>
      </m:oMath>
      <w:r w:rsidR="00595099">
        <w:t>)</w:t>
      </w:r>
      <w:r w:rsidR="00DC2BAD">
        <w:t xml:space="preserve">. </w:t>
      </w:r>
      <w:r w:rsidR="009A4501">
        <w:t xml:space="preserve"> Under the assumption that toxicity of a chemical follows a lognormal distribution, this range translates to </w:t>
      </w:r>
      <m:oMath>
        <m:r>
          <m:rPr>
            <m:sty m:val="p"/>
          </m:rPr>
          <w:rPr>
            <w:rFonts w:ascii="Cambria Math" w:hAnsi="Cambria Math"/>
          </w:rPr>
          <m:t>range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tox</m:t>
            </m:r>
          </m:sub>
        </m:sSub>
        <m:r>
          <w:rPr>
            <w:rFonts w:ascii="Cambria Math" w:hAnsi="Cambria Math"/>
          </w:rPr>
          <m:t>)</m:t>
        </m:r>
      </m:oMath>
      <w:r w:rsidR="009A4501">
        <w:t>.</w:t>
      </w:r>
      <w:r w:rsidR="001A607C">
        <w:t xml:space="preserve"> </w:t>
      </w:r>
      <w:r w:rsidR="00082AAD">
        <w:t>In the current iteration of the application, this value is set to 0 (i.e., no uncertainty present).</w:t>
      </w:r>
    </w:p>
    <w:p w14:paraId="2C757AA1" w14:textId="2402FE17" w:rsidR="00EF3EA3" w:rsidRDefault="00EF3EA3" w:rsidP="00EF3EA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Prior Uncertainty Distribution About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9852C4">
        <w:rPr>
          <w:b/>
          <w:bCs/>
        </w:rPr>
        <w:t xml:space="preserve">: </w:t>
      </w:r>
      <w:r w:rsidR="009852C4">
        <w:t xml:space="preserve">A plot of uncertainty distribution about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tox</m:t>
            </m:r>
          </m:sub>
        </m:sSub>
      </m:oMath>
      <w:r w:rsidR="009852C4">
        <w:t xml:space="preserve"> without performing additional toxicity testing about a chemical.</w:t>
      </w:r>
      <w:r w:rsidR="009852C4" w:rsidRPr="00000DD8">
        <w:t xml:space="preserve"> </w:t>
      </w:r>
      <w:r w:rsidR="009852C4">
        <w:t xml:space="preserve">Given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sub>
        </m:sSub>
      </m:oMath>
      <w:r w:rsidR="009852C4">
        <w:t xml:space="preserve"> scale.</w:t>
      </w:r>
    </w:p>
    <w:p w14:paraId="15E42307" w14:textId="0210439E" w:rsidR="00082AAD" w:rsidRDefault="00082AAD" w:rsidP="00EC3CEF"/>
    <w:p w14:paraId="2ED06682" w14:textId="3BFFC98C" w:rsidR="00082AAD" w:rsidRDefault="00082AAD" w:rsidP="00E10E57">
      <w:pPr>
        <w:pStyle w:val="Heading3"/>
        <w:numPr>
          <w:ilvl w:val="2"/>
          <w:numId w:val="4"/>
        </w:numPr>
      </w:pPr>
      <w:bookmarkStart w:id="6" w:name="_Toc80706152"/>
      <w:r>
        <w:lastRenderedPageBreak/>
        <w:t xml:space="preserve">Prior Hyperparameters </w:t>
      </w:r>
      <w:r w:rsidR="007411ED">
        <w:t>–</w:t>
      </w:r>
      <w:r>
        <w:t xml:space="preserve"> Exposure</w:t>
      </w:r>
      <w:bookmarkEnd w:id="6"/>
    </w:p>
    <w:p w14:paraId="16DA095F" w14:textId="77777777" w:rsidR="00C71219" w:rsidRDefault="007411ED" w:rsidP="00C71219">
      <w:pPr>
        <w:keepNext/>
        <w:jc w:val="center"/>
      </w:pPr>
      <w:r w:rsidRPr="007411ED">
        <w:rPr>
          <w:noProof/>
        </w:rPr>
        <w:drawing>
          <wp:inline distT="0" distB="0" distL="0" distR="0" wp14:anchorId="35F9554A" wp14:editId="3E9C7ED2">
            <wp:extent cx="6636293" cy="1827793"/>
            <wp:effectExtent l="19050" t="19050" r="1270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293" cy="1827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19ABC9" w14:textId="6624F856" w:rsidR="007411ED" w:rsidRPr="007411ED" w:rsidRDefault="00C71219" w:rsidP="00C71219">
      <w:pPr>
        <w:pStyle w:val="Caption"/>
        <w:jc w:val="center"/>
      </w:pPr>
      <w:r>
        <w:t xml:space="preserve">Figure </w:t>
      </w:r>
      <w:r w:rsidR="00EB3B66">
        <w:fldChar w:fldCharType="begin"/>
      </w:r>
      <w:r w:rsidR="00EB3B66">
        <w:instrText xml:space="preserve"> SEQ Figure \* ARABIC </w:instrText>
      </w:r>
      <w:r w:rsidR="00EB3B66">
        <w:fldChar w:fldCharType="separate"/>
      </w:r>
      <w:r w:rsidR="00C55F85">
        <w:rPr>
          <w:noProof/>
        </w:rPr>
        <w:t>5</w:t>
      </w:r>
      <w:r w:rsidR="00EB3B66">
        <w:rPr>
          <w:noProof/>
        </w:rPr>
        <w:fldChar w:fldCharType="end"/>
      </w:r>
      <w:r>
        <w:t xml:space="preserve">: </w:t>
      </w:r>
      <w:r w:rsidRPr="00594622">
        <w:t xml:space="preserve">User inputs about </w:t>
      </w:r>
      <w:r>
        <w:t>population exposure</w:t>
      </w:r>
      <w:r w:rsidRPr="00594622">
        <w:t xml:space="preserve"> and a plot of prior uncertainty distribution about mean </w:t>
      </w:r>
      <w:r>
        <w:t>exposure level</w:t>
      </w:r>
      <w:r w:rsidRPr="00594622">
        <w:t>.</w:t>
      </w:r>
    </w:p>
    <w:p w14:paraId="2835B52F" w14:textId="53F632B4" w:rsidR="00082AAD" w:rsidRDefault="00EB3B66" w:rsidP="007411ED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exp</m:t>
            </m:r>
          </m:sub>
        </m:sSub>
      </m:oMath>
      <w:r w:rsidR="007411ED">
        <w:rPr>
          <w:b/>
          <w:bCs/>
        </w:rPr>
        <w:t xml:space="preserve"> – </w:t>
      </w:r>
      <w:r w:rsidR="00082AAD" w:rsidRPr="007411ED">
        <w:rPr>
          <w:b/>
          <w:bCs/>
        </w:rPr>
        <w:t xml:space="preserve">Geometric Mean of the Mean of Exposure </w:t>
      </w:r>
      <m:oMath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b/>
                <w:bCs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082AAD" w:rsidRPr="007411ED">
        <w:rPr>
          <w:b/>
          <w:bCs/>
        </w:rPr>
        <w:t>:</w:t>
      </w:r>
      <w:r w:rsidR="00082AAD">
        <w:t xml:space="preserve"> </w:t>
      </w:r>
      <w:r w:rsidR="005D2B3F">
        <w:t>G</w:t>
      </w:r>
      <w:r w:rsidR="007411ED">
        <w:t>eometric mean of the average population exposure to the chemical</w:t>
      </w:r>
      <w:r w:rsidR="00082AAD">
        <w:t xml:space="preserve">. Given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sub>
        </m:sSub>
      </m:oMath>
      <w:r w:rsidR="00082AAD">
        <w:t xml:space="preserve"> scale.</w:t>
      </w:r>
    </w:p>
    <w:p w14:paraId="2F748DDD" w14:textId="6C02EFB4" w:rsidR="00082AAD" w:rsidRDefault="007411ED" w:rsidP="007411ED">
      <w:pPr>
        <w:pStyle w:val="ListParagraph"/>
        <w:numPr>
          <w:ilvl w:val="0"/>
          <w:numId w:val="1"/>
        </w:numPr>
      </w:pPr>
      <m:oMath>
        <m:r>
          <m:rPr>
            <m:sty m:val="b"/>
          </m:rPr>
          <w:rPr>
            <w:rFonts w:ascii="Cambria Math" w:hAnsi="Cambria Math"/>
          </w:rPr>
          <m:t>Range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exp</m:t>
                    </m:r>
                  </m:sub>
                </m:sSub>
              </m:e>
            </m:d>
          </m:e>
        </m:d>
      </m:oMath>
      <w:r>
        <w:rPr>
          <w:b/>
          <w:bCs/>
        </w:rPr>
        <w:t xml:space="preserve"> –  </w:t>
      </w:r>
      <w:r w:rsidR="00082AAD" w:rsidRPr="007411ED">
        <w:rPr>
          <w:b/>
          <w:bCs/>
        </w:rPr>
        <w:t>Range of Uncertainty about the Mean of Exposure (OM):</w:t>
      </w:r>
      <w:r w:rsidR="00082AAD">
        <w:t xml:space="preserve"> </w:t>
      </w:r>
      <w:r w:rsidR="005D2B3F">
        <w:t>T</w:t>
      </w:r>
      <w:r w:rsidR="00082AAD">
        <w:t xml:space="preserve">he range is defined to cover </w:t>
      </w:r>
      <w:r w:rsidR="00DC2BAD">
        <w:t xml:space="preserve">99.975% of the uncertainty distribution. </w:t>
      </w:r>
      <w:r w:rsidR="00082AAD">
        <w:t xml:space="preserve"> Under the assumption that the population exposure follows a lognormal distribution, this range translates to </w:t>
      </w:r>
      <m:oMath>
        <m:r>
          <m:rPr>
            <m:sty m:val="p"/>
          </m:rPr>
          <w:rPr>
            <w:rFonts w:ascii="Cambria Math" w:hAnsi="Cambria Math"/>
          </w:rPr>
          <m:t>range</m:t>
        </m:r>
        <m:r>
          <w:rPr>
            <w:rFonts w:ascii="Cambria Math" w:hAnsi="Cambria Math"/>
          </w:rPr>
          <m:t>=7.32σ</m:t>
        </m:r>
      </m:oMath>
      <w:r w:rsidR="00082AAD">
        <w:t>.</w:t>
      </w:r>
    </w:p>
    <w:p w14:paraId="25731D32" w14:textId="47A3A6CB" w:rsidR="00082AAD" w:rsidRDefault="00EB3B66" w:rsidP="007411ED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exp</m:t>
            </m:r>
          </m:sub>
        </m:sSub>
      </m:oMath>
      <w:r w:rsidR="007411ED">
        <w:rPr>
          <w:b/>
          <w:bCs/>
        </w:rPr>
        <w:t xml:space="preserve"> – </w:t>
      </w:r>
      <w:r w:rsidR="00082AAD" w:rsidRPr="007411ED">
        <w:rPr>
          <w:b/>
          <w:bCs/>
        </w:rPr>
        <w:t xml:space="preserve">Geometric Mean of the Standard Deviation of Exposure </w:t>
      </w:r>
      <m:oMath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b/>
                <w:bCs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082AAD" w:rsidRPr="007411ED">
        <w:rPr>
          <w:b/>
          <w:bCs/>
        </w:rPr>
        <w:t>:</w:t>
      </w:r>
      <w:r w:rsidR="00082AAD">
        <w:t xml:space="preserve"> </w:t>
      </w:r>
      <w:r w:rsidR="005D2B3F">
        <w:t>Un</w:t>
      </w:r>
      <w:r w:rsidR="00082AAD">
        <w:t>der the assumption that the population exposure follows a lognormal distribution, this parameter indicates the individual variation in exposure.</w:t>
      </w:r>
      <w:r w:rsidR="00082AAD" w:rsidRPr="009A4501">
        <w:t xml:space="preserve"> </w:t>
      </w:r>
      <w:r w:rsidR="00082AAD">
        <w:t xml:space="preserve">Given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sub>
        </m:sSub>
      </m:oMath>
      <w:r w:rsidR="00082AAD">
        <w:t xml:space="preserve"> scale.</w:t>
      </w:r>
    </w:p>
    <w:p w14:paraId="4C33CCB2" w14:textId="0E30791B" w:rsidR="00082AAD" w:rsidRDefault="007411ED" w:rsidP="007411ED">
      <w:pPr>
        <w:pStyle w:val="ListParagraph"/>
        <w:numPr>
          <w:ilvl w:val="0"/>
          <w:numId w:val="1"/>
        </w:numPr>
      </w:pPr>
      <m:oMath>
        <m:r>
          <m:rPr>
            <m:sty m:val="b"/>
          </m:rPr>
          <w:rPr>
            <w:rFonts w:ascii="Cambria Math" w:hAnsi="Cambria Math"/>
          </w:rPr>
          <m:t>Range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exp</m:t>
                    </m:r>
                  </m:sub>
                </m:sSub>
              </m:e>
            </m:d>
          </m:e>
        </m:d>
      </m:oMath>
      <w:r>
        <w:rPr>
          <w:b/>
          <w:bCs/>
        </w:rPr>
        <w:t xml:space="preserve"> –  </w:t>
      </w:r>
      <w:r w:rsidR="00082AAD" w:rsidRPr="007411ED">
        <w:rPr>
          <w:b/>
          <w:bCs/>
        </w:rPr>
        <w:t>Range of Uncertainty about the Standard Deviation of Toxicity (OM):</w:t>
      </w:r>
      <w:r w:rsidR="00082AAD">
        <w:t xml:space="preserve"> </w:t>
      </w:r>
      <w:r w:rsidR="005D2B3F">
        <w:t>T</w:t>
      </w:r>
      <w:r w:rsidR="00082AAD">
        <w:t xml:space="preserve">he range is defined to cover </w:t>
      </w:r>
      <w:r w:rsidR="00DC2BAD">
        <w:t xml:space="preserve">99.975% of the uncertainty distribution. </w:t>
      </w:r>
      <w:r w:rsidR="00082AAD">
        <w:t xml:space="preserve"> Under the assumption that population exposure to a chemical of interest follows a lognormal distribution, this range translates to </w:t>
      </w:r>
      <m:oMath>
        <m:r>
          <m:rPr>
            <m:sty m:val="p"/>
          </m:rPr>
          <w:rPr>
            <w:rFonts w:ascii="Cambria Math" w:hAnsi="Cambria Math"/>
          </w:rPr>
          <m:t>range</m:t>
        </m:r>
        <m:r>
          <w:rPr>
            <w:rFonts w:ascii="Cambria Math" w:hAnsi="Cambria Math"/>
          </w:rPr>
          <m:t>=7.32σ</m:t>
        </m:r>
      </m:oMath>
      <w:r w:rsidR="00082AAD">
        <w:t>. In the current iteration of the application, this value is set to 0 (i.e., no uncertainty present).</w:t>
      </w:r>
    </w:p>
    <w:p w14:paraId="3C531FE5" w14:textId="310F79A0" w:rsidR="007411ED" w:rsidRDefault="007411ED" w:rsidP="007411E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Prior Uncertainty Distribution About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Mean Exposure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/>
          <w:bCs/>
        </w:rPr>
        <w:t xml:space="preserve">: </w:t>
      </w:r>
      <w:r>
        <w:t xml:space="preserve">A plot of uncertainty distribution about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sub>
        </m:sSub>
      </m:oMath>
      <w:r>
        <w:t>.</w:t>
      </w:r>
      <w:r w:rsidRPr="00000DD8">
        <w:t xml:space="preserve"> </w:t>
      </w:r>
      <w:r>
        <w:t xml:space="preserve">Given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scale.</w:t>
      </w:r>
    </w:p>
    <w:p w14:paraId="67751168" w14:textId="77777777" w:rsidR="001A607C" w:rsidRPr="00EC3CEF" w:rsidRDefault="001A607C" w:rsidP="00EC3CEF"/>
    <w:p w14:paraId="05846E47" w14:textId="2493BD24" w:rsidR="00EC3CEF" w:rsidRDefault="00F16E4B" w:rsidP="00E10E57">
      <w:pPr>
        <w:pStyle w:val="Heading2"/>
        <w:numPr>
          <w:ilvl w:val="1"/>
          <w:numId w:val="4"/>
        </w:numPr>
      </w:pPr>
      <w:bookmarkStart w:id="7" w:name="_Toc80706153"/>
      <w:r>
        <w:t>Toxicity Testing Information</w:t>
      </w:r>
      <w:bookmarkEnd w:id="7"/>
    </w:p>
    <w:p w14:paraId="3C09D21D" w14:textId="77777777" w:rsidR="00C71219" w:rsidRDefault="007207CB" w:rsidP="00C71219">
      <w:pPr>
        <w:keepNext/>
        <w:jc w:val="center"/>
      </w:pPr>
      <w:r w:rsidRPr="007207CB">
        <w:rPr>
          <w:noProof/>
        </w:rPr>
        <w:drawing>
          <wp:inline distT="0" distB="0" distL="0" distR="0" wp14:anchorId="1A6AE9B6" wp14:editId="3FA04E9E">
            <wp:extent cx="5796000" cy="2516400"/>
            <wp:effectExtent l="19050" t="19050" r="14605" b="1778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6000" cy="251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BE058" w14:textId="1F7D45BB" w:rsidR="007207CB" w:rsidRPr="007207CB" w:rsidRDefault="00C71219" w:rsidP="00C71219">
      <w:pPr>
        <w:pStyle w:val="Caption"/>
        <w:jc w:val="center"/>
      </w:pPr>
      <w:r>
        <w:t xml:space="preserve">Figure </w:t>
      </w:r>
      <w:r w:rsidR="00EB3B66">
        <w:fldChar w:fldCharType="begin"/>
      </w:r>
      <w:r w:rsidR="00EB3B66">
        <w:instrText xml:space="preserve"> SEQ Figure \* ARABIC </w:instrText>
      </w:r>
      <w:r w:rsidR="00EB3B66">
        <w:fldChar w:fldCharType="separate"/>
      </w:r>
      <w:r w:rsidR="00C55F85">
        <w:rPr>
          <w:noProof/>
        </w:rPr>
        <w:t>6</w:t>
      </w:r>
      <w:r w:rsidR="00EB3B66">
        <w:rPr>
          <w:noProof/>
        </w:rPr>
        <w:fldChar w:fldCharType="end"/>
      </w:r>
      <w:r>
        <w:t>: User inputs about toxicity tests A and B.</w:t>
      </w:r>
    </w:p>
    <w:p w14:paraId="47EF7F70" w14:textId="106A8A7E" w:rsidR="00082AAD" w:rsidRDefault="00082AAD" w:rsidP="00E10E57">
      <w:pPr>
        <w:pStyle w:val="Heading3"/>
        <w:numPr>
          <w:ilvl w:val="2"/>
          <w:numId w:val="4"/>
        </w:numPr>
      </w:pPr>
      <w:bookmarkStart w:id="8" w:name="_Toc80706154"/>
      <w:r>
        <w:lastRenderedPageBreak/>
        <w:t>Test A</w:t>
      </w:r>
      <w:bookmarkEnd w:id="8"/>
    </w:p>
    <w:p w14:paraId="48EA8B7E" w14:textId="198E5A8A" w:rsidR="00082AAD" w:rsidRDefault="00F16E4B" w:rsidP="007207CB">
      <w:pPr>
        <w:pStyle w:val="ListParagraph"/>
        <w:numPr>
          <w:ilvl w:val="0"/>
          <w:numId w:val="1"/>
        </w:numPr>
      </w:pPr>
      <m:oMath>
        <m:r>
          <m:rPr>
            <m:sty m:val="b"/>
          </m:rPr>
          <w:rPr>
            <w:rFonts w:ascii="Cambria Math" w:hAnsi="Cambria Math"/>
          </w:rPr>
          <m:t>Range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tox</m:t>
                    </m:r>
                  </m:sub>
                </m:sSub>
              </m:e>
            </m:d>
          </m:e>
        </m:d>
      </m:oMath>
      <w:r w:rsidR="001C6EC1">
        <w:rPr>
          <w:b/>
          <w:bCs/>
        </w:rPr>
        <w:t xml:space="preserve"> – </w:t>
      </w:r>
      <w:r w:rsidR="00082AAD" w:rsidRPr="007207CB">
        <w:rPr>
          <w:b/>
          <w:bCs/>
        </w:rPr>
        <w:t>Range of the Residual Uncertainty in Mean Toxicity (OM):</w:t>
      </w:r>
      <w:r w:rsidR="00082AAD">
        <w:t xml:space="preserve"> </w:t>
      </w:r>
      <w:r w:rsidR="005D2B3F">
        <w:t>T</w:t>
      </w:r>
      <w:r w:rsidR="001A607C">
        <w:t xml:space="preserve">his parameter corresponds to the amount of uncertainty remained about </w:t>
      </w:r>
      <m:oMath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</m:oMath>
      <w:r w:rsidR="001A607C">
        <w:t xml:space="preserve"> once the toxicity test A is conducted. The range is defined to cover </w:t>
      </w:r>
      <w:r w:rsidR="00DC2BAD">
        <w:t xml:space="preserve">99.975% of the uncertainty distribution. </w:t>
      </w:r>
      <w:r w:rsidR="001A607C">
        <w:t xml:space="preserve"> Under the assumption that </w:t>
      </w:r>
      <m:oMath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</m:oMath>
      <w:r w:rsidR="001A607C">
        <w:t xml:space="preserve"> follows a lognormal distribution, this range translates to </w:t>
      </w:r>
      <m:oMath>
        <m:r>
          <m:rPr>
            <m:sty m:val="p"/>
          </m:rPr>
          <w:rPr>
            <w:rFonts w:ascii="Cambria Math" w:hAnsi="Cambria Math"/>
          </w:rPr>
          <m:t>range</m:t>
        </m:r>
        <m:r>
          <w:rPr>
            <w:rFonts w:ascii="Cambria Math" w:hAnsi="Cambria Math"/>
          </w:rPr>
          <m:t>=7.32σ</m:t>
        </m:r>
      </m:oMath>
      <w:r w:rsidR="001A607C">
        <w:t>.</w:t>
      </w:r>
    </w:p>
    <w:p w14:paraId="56BFF1BB" w14:textId="71675888" w:rsidR="001A607C" w:rsidRDefault="001A607C" w:rsidP="007207CB">
      <w:pPr>
        <w:pStyle w:val="ListParagraph"/>
        <w:numPr>
          <w:ilvl w:val="0"/>
          <w:numId w:val="1"/>
        </w:numPr>
      </w:pPr>
      <w:r w:rsidRPr="007207CB">
        <w:rPr>
          <w:b/>
          <w:bCs/>
        </w:rPr>
        <w:t>Delay (Years):</w:t>
      </w:r>
      <w:r>
        <w:t xml:space="preserve"> </w:t>
      </w:r>
      <w:r w:rsidR="005D2B3F">
        <w:t>T</w:t>
      </w:r>
      <w:r>
        <w:t>he delay in decision-making process due to conducting and analyzing an additional toxicity test A.</w:t>
      </w:r>
    </w:p>
    <w:p w14:paraId="2C9064A7" w14:textId="508A102F" w:rsidR="001A607C" w:rsidRDefault="001A607C" w:rsidP="007207CB">
      <w:pPr>
        <w:pStyle w:val="ListParagraph"/>
        <w:numPr>
          <w:ilvl w:val="0"/>
          <w:numId w:val="1"/>
        </w:numPr>
      </w:pPr>
      <w:r w:rsidRPr="007207CB">
        <w:rPr>
          <w:b/>
          <w:bCs/>
        </w:rPr>
        <w:t>Cost Per Test (USD):</w:t>
      </w:r>
      <w:r>
        <w:t xml:space="preserve"> </w:t>
      </w:r>
      <w:r w:rsidR="005D2B3F">
        <w:t>T</w:t>
      </w:r>
      <w:r>
        <w:t>he cost of conducting a toxicity test A.</w:t>
      </w:r>
    </w:p>
    <w:p w14:paraId="5B9BC579" w14:textId="77777777" w:rsidR="00146826" w:rsidRDefault="00146826" w:rsidP="00146826"/>
    <w:p w14:paraId="6F4D3841" w14:textId="36D88648" w:rsidR="001A607C" w:rsidRDefault="001A607C" w:rsidP="00E10E57">
      <w:pPr>
        <w:pStyle w:val="Heading3"/>
        <w:numPr>
          <w:ilvl w:val="2"/>
          <w:numId w:val="4"/>
        </w:numPr>
      </w:pPr>
      <w:bookmarkStart w:id="9" w:name="_Toc80706155"/>
      <w:r>
        <w:t>Test B</w:t>
      </w:r>
      <w:bookmarkEnd w:id="9"/>
    </w:p>
    <w:p w14:paraId="00740C74" w14:textId="50E5A985" w:rsidR="001A607C" w:rsidRDefault="001C6EC1" w:rsidP="001C6EC1">
      <w:pPr>
        <w:pStyle w:val="ListParagraph"/>
        <w:numPr>
          <w:ilvl w:val="0"/>
          <w:numId w:val="1"/>
        </w:numPr>
      </w:pPr>
      <m:oMath>
        <m:r>
          <m:rPr>
            <m:sty m:val="b"/>
          </m:rPr>
          <w:rPr>
            <w:rFonts w:ascii="Cambria Math" w:hAnsi="Cambria Math"/>
          </w:rPr>
          <m:t>Range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tox</m:t>
                    </m:r>
                  </m:sub>
                </m:sSub>
              </m:e>
            </m:d>
          </m:e>
        </m:d>
      </m:oMath>
      <w:r w:rsidRPr="001C6EC1">
        <w:rPr>
          <w:b/>
          <w:bCs/>
        </w:rPr>
        <w:t xml:space="preserve"> – </w:t>
      </w:r>
      <w:r w:rsidR="001A607C" w:rsidRPr="001C6EC1">
        <w:rPr>
          <w:b/>
          <w:bCs/>
        </w:rPr>
        <w:t>Range of the Residual Uncertainty in Mean Toxicity (OM):</w:t>
      </w:r>
      <w:r w:rsidR="001A607C">
        <w:t xml:space="preserve"> </w:t>
      </w:r>
      <w:r w:rsidR="005D2B3F">
        <w:t>T</w:t>
      </w:r>
      <w:r w:rsidR="001A607C">
        <w:t xml:space="preserve">his parameter corresponds to the amount of uncertainty remained about </w:t>
      </w:r>
      <m:oMath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</m:oMath>
      <w:r w:rsidR="001A607C">
        <w:t xml:space="preserve"> once the toxicity test B is conducted. The range is defined to cover </w:t>
      </w:r>
      <w:r w:rsidR="00DC2BAD">
        <w:t xml:space="preserve">99.975% of the uncertainty distribution. </w:t>
      </w:r>
      <w:r w:rsidR="001A607C">
        <w:t xml:space="preserve"> Under the assumption that </w:t>
      </w:r>
      <m:oMath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</m:oMath>
      <w:r w:rsidR="001A607C">
        <w:t xml:space="preserve"> follows a lognormal distribution, this range translates to </w:t>
      </w:r>
      <m:oMath>
        <m:r>
          <m:rPr>
            <m:sty m:val="p"/>
          </m:rPr>
          <w:rPr>
            <w:rFonts w:ascii="Cambria Math" w:hAnsi="Cambria Math"/>
          </w:rPr>
          <m:t>range</m:t>
        </m:r>
        <m:r>
          <w:rPr>
            <w:rFonts w:ascii="Cambria Math" w:hAnsi="Cambria Math"/>
          </w:rPr>
          <m:t>=7.32σ</m:t>
        </m:r>
      </m:oMath>
      <w:r w:rsidR="001A607C">
        <w:t>.</w:t>
      </w:r>
    </w:p>
    <w:p w14:paraId="7F0E74E9" w14:textId="09C82990" w:rsidR="001A607C" w:rsidRDefault="001A607C" w:rsidP="001C6EC1">
      <w:pPr>
        <w:pStyle w:val="ListParagraph"/>
        <w:numPr>
          <w:ilvl w:val="0"/>
          <w:numId w:val="1"/>
        </w:numPr>
      </w:pPr>
      <w:r w:rsidRPr="001C6EC1">
        <w:rPr>
          <w:b/>
          <w:bCs/>
        </w:rPr>
        <w:t>Delay (Years):</w:t>
      </w:r>
      <w:r>
        <w:t xml:space="preserve"> </w:t>
      </w:r>
      <w:r w:rsidR="005D2B3F">
        <w:t>T</w:t>
      </w:r>
      <w:r>
        <w:t>he delay in decision-making process due to conducting and analyzing an additional toxicity test B.</w:t>
      </w:r>
    </w:p>
    <w:p w14:paraId="68A80661" w14:textId="3AB16F0E" w:rsidR="001A607C" w:rsidRDefault="001A607C" w:rsidP="001C6EC1">
      <w:pPr>
        <w:pStyle w:val="ListParagraph"/>
        <w:numPr>
          <w:ilvl w:val="0"/>
          <w:numId w:val="1"/>
        </w:numPr>
      </w:pPr>
      <w:r w:rsidRPr="001C6EC1">
        <w:rPr>
          <w:b/>
          <w:bCs/>
        </w:rPr>
        <w:t>Cost Per Test (USD):</w:t>
      </w:r>
      <w:r>
        <w:t xml:space="preserve"> </w:t>
      </w:r>
      <w:r w:rsidR="005D2B3F">
        <w:t>T</w:t>
      </w:r>
      <w:r>
        <w:t>he cost of conducting a toxicity test B.</w:t>
      </w:r>
    </w:p>
    <w:p w14:paraId="388198D0" w14:textId="2FE966B7" w:rsidR="001A607C" w:rsidRPr="00082AAD" w:rsidRDefault="001A607C" w:rsidP="00082AAD"/>
    <w:p w14:paraId="091D9544" w14:textId="07993FDD" w:rsidR="00EC3CEF" w:rsidRDefault="00EC3CEF" w:rsidP="00E10E57">
      <w:pPr>
        <w:pStyle w:val="Heading2"/>
        <w:numPr>
          <w:ilvl w:val="1"/>
          <w:numId w:val="4"/>
        </w:numPr>
      </w:pPr>
      <w:bookmarkStart w:id="10" w:name="_Toc80706156"/>
      <w:r>
        <w:t>Economic Parameters</w:t>
      </w:r>
      <w:bookmarkEnd w:id="10"/>
    </w:p>
    <w:p w14:paraId="500D6789" w14:textId="572B5D53" w:rsidR="00572B00" w:rsidRDefault="00572B00" w:rsidP="00572B00">
      <w:r>
        <w:t>In this tab, users can change a variety of parameters controlling the total health cost (THC), total control cost (TCC), and total social cost (TSC).</w:t>
      </w:r>
    </w:p>
    <w:p w14:paraId="2DC53CC8" w14:textId="77777777" w:rsidR="00C71219" w:rsidRDefault="009857C1" w:rsidP="00C71219">
      <w:pPr>
        <w:keepNext/>
        <w:jc w:val="center"/>
      </w:pPr>
      <w:r w:rsidRPr="009857C1">
        <w:rPr>
          <w:noProof/>
        </w:rPr>
        <w:drawing>
          <wp:inline distT="0" distB="0" distL="0" distR="0" wp14:anchorId="59C7DDE5" wp14:editId="12804873">
            <wp:extent cx="5843410" cy="2499360"/>
            <wp:effectExtent l="19050" t="19050" r="2413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410" cy="2499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814DE" w14:textId="2E082ED3" w:rsidR="00572B00" w:rsidRDefault="00C71219" w:rsidP="00C71219">
      <w:pPr>
        <w:pStyle w:val="Caption"/>
        <w:jc w:val="center"/>
      </w:pPr>
      <w:r>
        <w:t xml:space="preserve">Figure </w:t>
      </w:r>
      <w:r w:rsidR="00EB3B66">
        <w:fldChar w:fldCharType="begin"/>
      </w:r>
      <w:r w:rsidR="00EB3B66">
        <w:instrText xml:space="preserve"> SEQ Figure \* ARABIC </w:instrText>
      </w:r>
      <w:r w:rsidR="00EB3B66">
        <w:fldChar w:fldCharType="separate"/>
      </w:r>
      <w:r w:rsidR="00C55F85">
        <w:rPr>
          <w:noProof/>
        </w:rPr>
        <w:t>7</w:t>
      </w:r>
      <w:r w:rsidR="00EB3B66">
        <w:rPr>
          <w:noProof/>
        </w:rPr>
        <w:fldChar w:fldCharType="end"/>
      </w:r>
      <w:r>
        <w:t>: User inputs about adverse health outcomes and a plot of present value of a future value.</w:t>
      </w:r>
    </w:p>
    <w:p w14:paraId="273519E6" w14:textId="77777777" w:rsidR="00C71219" w:rsidRDefault="009857C1" w:rsidP="00C71219">
      <w:pPr>
        <w:keepNext/>
        <w:jc w:val="center"/>
      </w:pPr>
      <w:r w:rsidRPr="009857C1">
        <w:rPr>
          <w:b/>
          <w:bCs/>
          <w:noProof/>
        </w:rPr>
        <w:lastRenderedPageBreak/>
        <w:drawing>
          <wp:inline distT="0" distB="0" distL="0" distR="0" wp14:anchorId="6375DBE0" wp14:editId="2F443390">
            <wp:extent cx="6858000" cy="2113030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3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8ED41E" w14:textId="127D4708" w:rsidR="009857C1" w:rsidRDefault="00C71219" w:rsidP="00C71219">
      <w:pPr>
        <w:pStyle w:val="Caption"/>
        <w:jc w:val="center"/>
        <w:rPr>
          <w:b/>
          <w:bCs/>
        </w:rPr>
      </w:pPr>
      <w:r>
        <w:t xml:space="preserve">Figure </w:t>
      </w:r>
      <w:r w:rsidR="00EB3B66">
        <w:fldChar w:fldCharType="begin"/>
      </w:r>
      <w:r w:rsidR="00EB3B66">
        <w:instrText xml:space="preserve"> SEQ Figure \* ARABIC </w:instrText>
      </w:r>
      <w:r w:rsidR="00EB3B66">
        <w:fldChar w:fldCharType="separate"/>
      </w:r>
      <w:r w:rsidR="00C55F85">
        <w:rPr>
          <w:noProof/>
        </w:rPr>
        <w:t>8</w:t>
      </w:r>
      <w:r w:rsidR="00EB3B66">
        <w:rPr>
          <w:noProof/>
        </w:rPr>
        <w:fldChar w:fldCharType="end"/>
      </w:r>
      <w:r>
        <w:t>: Remaining user inputs about economic parameters and a plot of control cost as a function of percentage reduction in exposure.</w:t>
      </w:r>
    </w:p>
    <w:p w14:paraId="73335391" w14:textId="1A2E6C73" w:rsidR="00572B00" w:rsidRDefault="001A756A" w:rsidP="001A756A">
      <w:pPr>
        <w:pStyle w:val="ListParagraph"/>
        <w:numPr>
          <w:ilvl w:val="0"/>
          <w:numId w:val="1"/>
        </w:numPr>
      </w:pPr>
      <w:r>
        <w:rPr>
          <w:b/>
          <w:bCs/>
        </w:rPr>
        <w:t>Fatal</w:t>
      </w:r>
      <w:r w:rsidR="006F175C">
        <w:rPr>
          <w:b/>
          <w:bCs/>
        </w:rPr>
        <w:t xml:space="preserve"> </w:t>
      </w:r>
      <w:r w:rsidR="00572B00" w:rsidRPr="001A756A">
        <w:rPr>
          <w:b/>
          <w:bCs/>
        </w:rPr>
        <w:t xml:space="preserve">or </w:t>
      </w:r>
      <w:r>
        <w:rPr>
          <w:b/>
          <w:bCs/>
        </w:rPr>
        <w:t>Acute</w:t>
      </w:r>
      <w:r w:rsidR="00572B00" w:rsidRPr="001A756A">
        <w:rPr>
          <w:b/>
          <w:bCs/>
        </w:rPr>
        <w:t xml:space="preserve"> Health Outcomes:</w:t>
      </w:r>
      <w:r w:rsidR="00572B00">
        <w:t xml:space="preserve"> </w:t>
      </w:r>
      <w:r w:rsidR="00CD3938">
        <w:t>T</w:t>
      </w:r>
      <w:r w:rsidR="00572B00">
        <w:t>he user can choose whether the adverse effect due to exposure to a chemical is fatal</w:t>
      </w:r>
      <w:r w:rsidR="006F175C">
        <w:t xml:space="preserve"> </w:t>
      </w:r>
      <w:r w:rsidR="00572B00">
        <w:t>or acute.</w:t>
      </w:r>
    </w:p>
    <w:p w14:paraId="2450AFA2" w14:textId="126891F4" w:rsidR="00572B00" w:rsidRDefault="001A756A" w:rsidP="001A756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VSL – </w:t>
      </w:r>
      <w:r w:rsidR="00572B00" w:rsidRPr="001A756A">
        <w:rPr>
          <w:b/>
          <w:bCs/>
        </w:rPr>
        <w:t>Value of a Statistical Life (Millions of USD) – [For Fatal Outcome]:</w:t>
      </w:r>
      <w:r w:rsidR="000E358D" w:rsidRPr="000E358D">
        <w:t xml:space="preserve"> </w:t>
      </w:r>
      <w:r w:rsidR="000E358D" w:rsidRPr="000E358D">
        <w:rPr>
          <w:i/>
          <w:iCs/>
        </w:rPr>
        <w:t>This value is used only when fatal outcome is chosen</w:t>
      </w:r>
      <w:r w:rsidR="000E358D">
        <w:t>.</w:t>
      </w:r>
      <w:r w:rsidR="00572B00">
        <w:t xml:space="preserve"> </w:t>
      </w:r>
      <w:r w:rsidR="000E358D">
        <w:t>T</w:t>
      </w:r>
      <w:r w:rsidR="00572B00">
        <w:t xml:space="preserve">he default value of $8.8M is chosen as the standard VSL values accepted by USEPA, converted into 2016$. </w:t>
      </w:r>
    </w:p>
    <w:p w14:paraId="3A8ACEE7" w14:textId="77777777" w:rsidR="000E358D" w:rsidRDefault="001A756A" w:rsidP="000E358D">
      <w:pPr>
        <w:pStyle w:val="ListParagraph"/>
        <w:numPr>
          <w:ilvl w:val="0"/>
          <w:numId w:val="1"/>
        </w:numPr>
      </w:pPr>
      <w:r w:rsidRPr="001A756A">
        <w:rPr>
          <w:b/>
          <w:bCs/>
        </w:rPr>
        <w:t xml:space="preserve">Cost Per </w:t>
      </w:r>
      <w:r>
        <w:rPr>
          <w:b/>
          <w:bCs/>
        </w:rPr>
        <w:t>Acute</w:t>
      </w:r>
      <w:r w:rsidRPr="001A756A">
        <w:rPr>
          <w:b/>
          <w:bCs/>
        </w:rPr>
        <w:t xml:space="preserve"> Case (USD) – [For </w:t>
      </w:r>
      <w:r>
        <w:rPr>
          <w:b/>
          <w:bCs/>
        </w:rPr>
        <w:t>Acute</w:t>
      </w:r>
      <w:r w:rsidRPr="001A756A">
        <w:rPr>
          <w:b/>
          <w:bCs/>
        </w:rPr>
        <w:t xml:space="preserve"> Outcome]:</w:t>
      </w:r>
      <w:r w:rsidR="000E358D">
        <w:rPr>
          <w:b/>
          <w:bCs/>
        </w:rPr>
        <w:t xml:space="preserve"> </w:t>
      </w:r>
      <w:r w:rsidR="000E358D" w:rsidRPr="000E358D">
        <w:rPr>
          <w:i/>
          <w:iCs/>
        </w:rPr>
        <w:t>This value is used only when acute outcome is chosen</w:t>
      </w:r>
      <w:r w:rsidR="000E358D">
        <w:t>.</w:t>
      </w:r>
    </w:p>
    <w:p w14:paraId="0B2AEB15" w14:textId="02033BF7" w:rsidR="001A756A" w:rsidRDefault="000E358D" w:rsidP="000E358D">
      <w:pPr>
        <w:pStyle w:val="ListParagraph"/>
      </w:pPr>
      <w:r>
        <w:t>T</w:t>
      </w:r>
      <w:r w:rsidR="001A756A">
        <w:t>he default value of $50 is chosen to represent a restricted airway event, at a value of $50 per event.</w:t>
      </w:r>
    </w:p>
    <w:p w14:paraId="51203172" w14:textId="79FF73C5" w:rsidR="006F175C" w:rsidRPr="006F175C" w:rsidRDefault="00EB3B66" w:rsidP="006F175C">
      <w:pPr>
        <w:pStyle w:val="ListParagraph"/>
        <w:numPr>
          <w:ilvl w:val="0"/>
          <w:numId w:val="1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6F175C">
        <w:rPr>
          <w:b/>
          <w:bCs/>
        </w:rPr>
        <w:t xml:space="preserve"> – Annualization Factor:</w:t>
      </w:r>
      <w:r w:rsidR="006F175C">
        <w:t xml:space="preserve"> A factor that converts the population average risk </w:t>
      </w:r>
      <m:oMath>
        <m:r>
          <w:rPr>
            <w:rFonts w:ascii="Cambria Math" w:hAnsi="Cambria Math"/>
          </w:rPr>
          <m:t>R</m:t>
        </m:r>
      </m:oMath>
      <w:r w:rsidR="006F175C">
        <w:t xml:space="preserve"> into annualized risk. For example, if the risk is defined as daily risk,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=365</m:t>
        </m:r>
      </m:oMath>
      <w:r w:rsidR="006F175C">
        <w:t xml:space="preserve"> converts the risk into annualized risk.</w:t>
      </w:r>
    </w:p>
    <w:p w14:paraId="3074BD8C" w14:textId="547FC899" w:rsidR="00534CFE" w:rsidRDefault="00534CFE" w:rsidP="00572B00">
      <w:pPr>
        <w:pStyle w:val="ListParagraph"/>
        <w:numPr>
          <w:ilvl w:val="0"/>
          <w:numId w:val="1"/>
        </w:numPr>
      </w:pPr>
      <w:r w:rsidRPr="0016407F">
        <w:rPr>
          <w:b/>
          <w:bCs/>
        </w:rPr>
        <w:t>Population:</w:t>
      </w:r>
      <w:r>
        <w:t xml:space="preserve"> the default value of 350M represents the entire US population. </w:t>
      </w:r>
    </w:p>
    <w:p w14:paraId="550B055B" w14:textId="6082EF32" w:rsidR="00534CFE" w:rsidRDefault="00534CFE" w:rsidP="00572B00">
      <w:pPr>
        <w:pStyle w:val="ListParagraph"/>
        <w:numPr>
          <w:ilvl w:val="0"/>
          <w:numId w:val="1"/>
        </w:numPr>
      </w:pPr>
      <w:r w:rsidRPr="0016407F">
        <w:rPr>
          <w:b/>
          <w:bCs/>
        </w:rPr>
        <w:t>Discount Rate (%):</w:t>
      </w:r>
      <w:r>
        <w:t xml:space="preserve"> </w:t>
      </w:r>
      <w:r w:rsidR="007770C5">
        <w:t>T</w:t>
      </w:r>
      <w:r>
        <w:t>he rate in which the present value of a future cost is discounted.</w:t>
      </w:r>
      <w:r w:rsidR="001A756A">
        <w:t xml:space="preserve"> The default value is set to 5%.</w:t>
      </w:r>
    </w:p>
    <w:p w14:paraId="07495813" w14:textId="3D538266" w:rsidR="00534CFE" w:rsidRDefault="00534CFE" w:rsidP="0016407F">
      <w:pPr>
        <w:pStyle w:val="ListParagraph"/>
        <w:numPr>
          <w:ilvl w:val="0"/>
          <w:numId w:val="1"/>
        </w:numPr>
      </w:pPr>
      <w:r w:rsidRPr="0016407F">
        <w:rPr>
          <w:b/>
          <w:bCs/>
        </w:rPr>
        <w:t>Year 1:</w:t>
      </w:r>
      <w:r>
        <w:t xml:space="preserve"> </w:t>
      </w:r>
      <w:r w:rsidR="007770C5">
        <w:t>T</w:t>
      </w:r>
      <w:r>
        <w:t>his value represents the year in which the VOI calculation starts.</w:t>
      </w:r>
      <w:r w:rsidR="001A756A">
        <w:t xml:space="preserve"> The default value is set to 2022.</w:t>
      </w:r>
    </w:p>
    <w:p w14:paraId="3A61AD08" w14:textId="6E885D25" w:rsidR="0016407F" w:rsidRDefault="00534CFE" w:rsidP="00572B00">
      <w:pPr>
        <w:pStyle w:val="ListParagraph"/>
        <w:numPr>
          <w:ilvl w:val="0"/>
          <w:numId w:val="1"/>
        </w:numPr>
      </w:pPr>
      <w:r w:rsidRPr="0016407F">
        <w:rPr>
          <w:b/>
          <w:bCs/>
        </w:rPr>
        <w:t>Final Year:</w:t>
      </w:r>
      <w:r>
        <w:t xml:space="preserve"> </w:t>
      </w:r>
      <w:r w:rsidR="007770C5">
        <w:t>T</w:t>
      </w:r>
      <w:r>
        <w:t>his value represents the year in which the VOI calculation ends.</w:t>
      </w:r>
      <w:r w:rsidR="001A756A">
        <w:t xml:space="preserve"> The default value is set to 2041.</w:t>
      </w:r>
      <w:r>
        <w:t xml:space="preserve"> The difference between Final Year and Year 1 gives the time horizon</w:t>
      </w:r>
      <w:r w:rsidR="001A756A">
        <w:t xml:space="preserve"> (20 years in this case)</w:t>
      </w:r>
      <w:r>
        <w:t>.</w:t>
      </w:r>
    </w:p>
    <w:p w14:paraId="58719932" w14:textId="060DE001" w:rsidR="0016407F" w:rsidRDefault="00DE5F4C" w:rsidP="00572B00">
      <w:pPr>
        <w:pStyle w:val="ListParagraph"/>
        <w:numPr>
          <w:ilvl w:val="0"/>
          <w:numId w:val="1"/>
        </w:numPr>
      </w:pPr>
      <m:oMath>
        <m:r>
          <m:rPr>
            <m:sty m:val="bi"/>
          </m:rPr>
          <w:rPr>
            <w:rFonts w:ascii="Cambria Math" w:hAnsi="Cambria Math"/>
          </w:rPr>
          <m:t>AC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max</m:t>
            </m:r>
          </m:sub>
        </m:sSub>
      </m:oMath>
      <w:r w:rsidRPr="0016407F">
        <w:rPr>
          <w:b/>
          <w:bCs/>
        </w:rPr>
        <w:t xml:space="preserve"> – </w:t>
      </w:r>
      <w:r w:rsidR="00534CFE" w:rsidRPr="0016407F">
        <w:rPr>
          <w:b/>
          <w:bCs/>
        </w:rPr>
        <w:t>Maximum Annual Control Cost (USD per year):</w:t>
      </w:r>
      <w:r w:rsidR="00534CFE">
        <w:t xml:space="preserve"> </w:t>
      </w:r>
      <w:r w:rsidR="007770C5">
        <w:t>T</w:t>
      </w:r>
      <w:r w:rsidR="00534CFE">
        <w:t>he annual control cost to eliminate the chemical exposure.</w:t>
      </w:r>
    </w:p>
    <w:p w14:paraId="3A377602" w14:textId="50F9E107" w:rsidR="00534CFE" w:rsidRDefault="00DE5F4C" w:rsidP="00572B00">
      <w:pPr>
        <w:pStyle w:val="ListParagraph"/>
        <w:numPr>
          <w:ilvl w:val="0"/>
          <w:numId w:val="1"/>
        </w:numPr>
      </w:pP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6407F">
        <w:rPr>
          <w:b/>
          <w:bCs/>
        </w:rPr>
        <w:t xml:space="preserve"> – </w:t>
      </w:r>
      <w:r w:rsidR="00534CFE" w:rsidRPr="0016407F">
        <w:rPr>
          <w:b/>
          <w:bCs/>
        </w:rPr>
        <w:t>Control Cost Exponent:</w:t>
      </w:r>
      <w:r w:rsidR="00534CFE">
        <w:t xml:space="preserve"> </w:t>
      </w:r>
      <w:r w:rsidR="007770C5">
        <w:t>A</w:t>
      </w:r>
      <w:r w:rsidR="00534CFE">
        <w:t>ssuming that the control cost is a monotonically increasing function with respect to the proportional reduction in exposure</w:t>
      </w:r>
      <w:r>
        <w:t>, this parameter represents the steepness of such function</w:t>
      </w:r>
      <w:r w:rsidR="00534CFE">
        <w:t xml:space="preserve">. </w:t>
      </w:r>
      <w:proofErr w:type="gramStart"/>
      <w:r w:rsidR="00534CFE">
        <w:t>In particular, we</w:t>
      </w:r>
      <w:proofErr w:type="gramEnd"/>
      <w:r w:rsidR="00534CFE">
        <w:t xml:space="preserve"> set annualized control cost (ACC) be given by </w:t>
      </w:r>
      <m:oMath>
        <m:r>
          <w:rPr>
            <w:rFonts w:ascii="Cambria Math" w:hAnsi="Cambria Math"/>
          </w:rPr>
          <m:t>AC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=AC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ηk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den>
            </m:f>
          </m:e>
        </m:d>
      </m:oMath>
      <w:r>
        <w:t xml:space="preserve">, where </w:t>
      </w:r>
      <m:oMath>
        <m:r>
          <w:rPr>
            <w:rFonts w:ascii="Cambria Math" w:hAnsi="Cambria Math"/>
          </w:rPr>
          <m:t>k</m:t>
        </m:r>
      </m:oMath>
      <w:r>
        <w:t xml:space="preserve"> represents the percentage of reduction in exposure.</w:t>
      </w:r>
    </w:p>
    <w:p w14:paraId="1D3AA3E9" w14:textId="22A4AD0F" w:rsidR="005D0EE5" w:rsidRDefault="005D0EE5" w:rsidP="00572B00">
      <w:pPr>
        <w:pStyle w:val="ListParagraph"/>
        <w:numPr>
          <w:ilvl w:val="0"/>
          <w:numId w:val="1"/>
        </w:numPr>
      </w:pPr>
      <w:r w:rsidRPr="005D0EE5">
        <w:rPr>
          <w:b/>
          <w:bCs/>
        </w:rPr>
        <w:t>Present value of a future cost of 100 USD:</w:t>
      </w:r>
      <w:r>
        <w:t xml:space="preserve"> A plot of present value of a future cost of 100 USD based on </w:t>
      </w:r>
      <w:r w:rsidRPr="005D0EE5">
        <w:rPr>
          <w:b/>
          <w:bCs/>
        </w:rPr>
        <w:t>Year 1</w:t>
      </w:r>
      <w:r>
        <w:t xml:space="preserve">, </w:t>
      </w:r>
      <w:r w:rsidRPr="005D0EE5">
        <w:rPr>
          <w:b/>
          <w:bCs/>
        </w:rPr>
        <w:t>Final Year</w:t>
      </w:r>
      <w:r>
        <w:t xml:space="preserve">, and </w:t>
      </w:r>
      <w:r w:rsidRPr="005D0EE5">
        <w:rPr>
          <w:b/>
          <w:bCs/>
        </w:rPr>
        <w:t>Discount Rate</w:t>
      </w:r>
      <w:r>
        <w:t>.</w:t>
      </w:r>
    </w:p>
    <w:p w14:paraId="228FEFD1" w14:textId="5BAFD45D" w:rsidR="005D0EE5" w:rsidRDefault="005D0EE5" w:rsidP="00572B00">
      <w:pPr>
        <w:pStyle w:val="ListParagraph"/>
        <w:numPr>
          <w:ilvl w:val="0"/>
          <w:numId w:val="1"/>
        </w:numPr>
      </w:pPr>
      <w:r w:rsidRPr="006F175C">
        <w:rPr>
          <w:b/>
          <w:bCs/>
        </w:rPr>
        <w:t>Control Cost as a Function of % Reduction in Exposure:</w:t>
      </w:r>
      <w:r>
        <w:t xml:space="preserve"> A graphical representation of control cost that increases with the increase in the proportional reduction in exposure</w:t>
      </w:r>
      <w:r w:rsidR="007624CF">
        <w:t xml:space="preserve">. The relationship depends on parameters </w:t>
      </w:r>
      <m:oMath>
        <m:r>
          <m:rPr>
            <m:sty m:val="bi"/>
          </m:rPr>
          <w:rPr>
            <w:rFonts w:ascii="Cambria Math" w:hAnsi="Cambria Math"/>
          </w:rPr>
          <m:t>AC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max</m:t>
            </m:r>
          </m:sub>
        </m:sSub>
      </m:oMath>
      <w:r w:rsidR="007624CF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="007624CF">
        <w:t xml:space="preserve"> as described in </w:t>
      </w:r>
      <w:r w:rsidR="007624CF" w:rsidRPr="007624CF">
        <w:rPr>
          <w:b/>
          <w:bCs/>
        </w:rPr>
        <w:t>item</w:t>
      </w:r>
      <w:r w:rsidR="007624CF">
        <w:t xml:space="preserve"> </w:t>
      </w:r>
      <w:r w:rsidR="007624CF" w:rsidRPr="007624CF">
        <w:rPr>
          <w:b/>
          <w:bCs/>
        </w:rPr>
        <w:t>34</w:t>
      </w:r>
      <w:r w:rsidR="007624CF">
        <w:t>.</w:t>
      </w:r>
    </w:p>
    <w:p w14:paraId="34DED6E8" w14:textId="69423DED" w:rsidR="00534CFE" w:rsidRDefault="00534CFE" w:rsidP="00572B00"/>
    <w:p w14:paraId="2D4E9CAB" w14:textId="5A573A31" w:rsidR="00746338" w:rsidRDefault="00746338" w:rsidP="00E10E57">
      <w:pPr>
        <w:pStyle w:val="Heading1"/>
        <w:numPr>
          <w:ilvl w:val="0"/>
          <w:numId w:val="4"/>
        </w:numPr>
      </w:pPr>
      <w:bookmarkStart w:id="11" w:name="_Toc80706157"/>
      <w:r>
        <w:t>Importing Data and Running the Analysis</w:t>
      </w:r>
      <w:bookmarkEnd w:id="11"/>
    </w:p>
    <w:p w14:paraId="611DBD1A" w14:textId="03AC735D" w:rsidR="00746338" w:rsidRDefault="000815C6" w:rsidP="005D0EE5">
      <w:pPr>
        <w:pStyle w:val="ListParagraph"/>
        <w:numPr>
          <w:ilvl w:val="0"/>
          <w:numId w:val="1"/>
        </w:numPr>
      </w:pPr>
      <w:r w:rsidRPr="005D0EE5">
        <w:rPr>
          <w:b/>
          <w:bCs/>
        </w:rPr>
        <w:t>Select a Scenario:</w:t>
      </w:r>
      <w:r>
        <w:t xml:space="preserve"> Choose a scenario to run the analysis. If user adds additional scenarios, they will be added here.</w:t>
      </w:r>
    </w:p>
    <w:p w14:paraId="6526E2AF" w14:textId="0D965597" w:rsidR="000815C6" w:rsidRDefault="007635C0" w:rsidP="00746338">
      <w:pPr>
        <w:pStyle w:val="ListParagraph"/>
        <w:numPr>
          <w:ilvl w:val="0"/>
          <w:numId w:val="1"/>
        </w:numPr>
      </w:pPr>
      <w:r>
        <w:rPr>
          <w:b/>
          <w:bCs/>
        </w:rPr>
        <w:t>Load</w:t>
      </w:r>
      <w:r w:rsidR="000815C6" w:rsidRPr="005D0EE5">
        <w:rPr>
          <w:b/>
          <w:bCs/>
        </w:rPr>
        <w:t xml:space="preserve"> </w:t>
      </w:r>
      <w:r>
        <w:rPr>
          <w:b/>
          <w:bCs/>
        </w:rPr>
        <w:t>my</w:t>
      </w:r>
      <w:r w:rsidR="000815C6" w:rsidRPr="005D0EE5">
        <w:rPr>
          <w:b/>
          <w:bCs/>
        </w:rPr>
        <w:t xml:space="preserve"> </w:t>
      </w:r>
      <w:r>
        <w:rPr>
          <w:b/>
          <w:bCs/>
        </w:rPr>
        <w:t>S</w:t>
      </w:r>
      <w:r w:rsidR="000815C6" w:rsidRPr="005D0EE5">
        <w:rPr>
          <w:b/>
          <w:bCs/>
        </w:rPr>
        <w:t>cenarios (optional):</w:t>
      </w:r>
      <w:r w:rsidR="000815C6">
        <w:t xml:space="preserve"> Import additional scenarios by uploading </w:t>
      </w:r>
      <w:r w:rsidR="007D18F7">
        <w:t>own set of scenarios from</w:t>
      </w:r>
      <w:r w:rsidR="00C76F39">
        <w:t xml:space="preserve"> the</w:t>
      </w:r>
      <w:r w:rsidR="007D18F7">
        <w:t xml:space="preserve"> Excel spreadsheet</w:t>
      </w:r>
      <w:r w:rsidR="002300C9">
        <w:t xml:space="preserve"> (</w:t>
      </w:r>
      <w:r w:rsidR="002300C9" w:rsidRPr="007624CF">
        <w:rPr>
          <w:i/>
          <w:iCs/>
        </w:rPr>
        <w:t>.xlsx</w:t>
      </w:r>
      <w:r w:rsidR="002300C9">
        <w:t xml:space="preserve"> format)</w:t>
      </w:r>
      <w:r w:rsidR="007D18F7">
        <w:t>.</w:t>
      </w:r>
      <w:r>
        <w:t xml:space="preserve"> This feature can be used after the user has </w:t>
      </w:r>
      <w:r w:rsidR="00534E18">
        <w:t>downloaded</w:t>
      </w:r>
      <w:r>
        <w:t xml:space="preserve"> a copy of their scenarios as per </w:t>
      </w:r>
      <w:r w:rsidRPr="007635C0">
        <w:rPr>
          <w:b/>
          <w:bCs/>
        </w:rPr>
        <w:t xml:space="preserve">Step </w:t>
      </w:r>
      <w:r w:rsidR="0068348A">
        <w:rPr>
          <w:b/>
          <w:bCs/>
        </w:rPr>
        <w:t>39</w:t>
      </w:r>
      <w:r>
        <w:t xml:space="preserve"> below.</w:t>
      </w:r>
    </w:p>
    <w:p w14:paraId="7C1D7B3E" w14:textId="6D82C4A1" w:rsidR="005D0EE5" w:rsidRDefault="002300C9" w:rsidP="00746338">
      <w:pPr>
        <w:pStyle w:val="ListParagraph"/>
        <w:numPr>
          <w:ilvl w:val="0"/>
          <w:numId w:val="1"/>
        </w:numPr>
      </w:pPr>
      <w:r w:rsidRPr="005D0EE5">
        <w:rPr>
          <w:b/>
          <w:bCs/>
        </w:rPr>
        <w:lastRenderedPageBreak/>
        <w:t xml:space="preserve">Create </w:t>
      </w:r>
      <w:r w:rsidR="007635C0">
        <w:rPr>
          <w:b/>
          <w:bCs/>
        </w:rPr>
        <w:t xml:space="preserve">a </w:t>
      </w:r>
      <w:r w:rsidRPr="005D0EE5">
        <w:rPr>
          <w:b/>
          <w:bCs/>
        </w:rPr>
        <w:t>New Scenario:</w:t>
      </w:r>
      <w:r>
        <w:t xml:space="preserve"> A new scenario with parameters given in input fields will be created under user-specified scenario name.</w:t>
      </w:r>
    </w:p>
    <w:p w14:paraId="0B3D7D3A" w14:textId="77777777" w:rsidR="005D0EE5" w:rsidRDefault="002300C9" w:rsidP="00746338">
      <w:pPr>
        <w:pStyle w:val="ListParagraph"/>
        <w:numPr>
          <w:ilvl w:val="0"/>
          <w:numId w:val="1"/>
        </w:numPr>
      </w:pPr>
      <w:r w:rsidRPr="005D0EE5">
        <w:rPr>
          <w:b/>
          <w:bCs/>
        </w:rPr>
        <w:t>Update Values:</w:t>
      </w:r>
      <w:r>
        <w:t xml:space="preserve"> Default values for existing (user-specified) scenario will be updated with parameters given in input fields. If the new scenario name is different from the one chosen from </w:t>
      </w:r>
      <w:r w:rsidRPr="005D0EE5">
        <w:rPr>
          <w:b/>
          <w:bCs/>
        </w:rPr>
        <w:t>Select a Scenario menu</w:t>
      </w:r>
      <w:r>
        <w:t>, the scenario name will also be updated.</w:t>
      </w:r>
    </w:p>
    <w:p w14:paraId="11221671" w14:textId="547D7862" w:rsidR="002300C9" w:rsidRDefault="002300C9" w:rsidP="00746338">
      <w:pPr>
        <w:pStyle w:val="ListParagraph"/>
        <w:numPr>
          <w:ilvl w:val="0"/>
          <w:numId w:val="1"/>
        </w:numPr>
      </w:pPr>
      <w:r w:rsidRPr="005D0EE5">
        <w:rPr>
          <w:b/>
          <w:bCs/>
        </w:rPr>
        <w:t xml:space="preserve">Get </w:t>
      </w:r>
      <w:r w:rsidR="007635C0">
        <w:rPr>
          <w:b/>
          <w:bCs/>
        </w:rPr>
        <w:t>a C</w:t>
      </w:r>
      <w:r w:rsidRPr="005D0EE5">
        <w:rPr>
          <w:b/>
          <w:bCs/>
        </w:rPr>
        <w:t xml:space="preserve">opy of </w:t>
      </w:r>
      <w:r w:rsidR="007635C0">
        <w:rPr>
          <w:b/>
          <w:bCs/>
        </w:rPr>
        <w:t xml:space="preserve">my </w:t>
      </w:r>
      <w:r w:rsidRPr="005D0EE5">
        <w:rPr>
          <w:b/>
          <w:bCs/>
        </w:rPr>
        <w:t>Scenarios:</w:t>
      </w:r>
      <w:r>
        <w:t xml:space="preserve"> Download all user-specified scenarios in Excel spreadsheet (</w:t>
      </w:r>
      <w:r w:rsidRPr="007624CF">
        <w:rPr>
          <w:i/>
          <w:iCs/>
        </w:rPr>
        <w:t>.xlsx</w:t>
      </w:r>
      <w:r>
        <w:t xml:space="preserve"> format). Note that a new scenario must be created to activate this function.</w:t>
      </w:r>
      <w:r w:rsidR="007635C0">
        <w:t xml:space="preserve"> Note: the only way to save user-specified scenarios is to download the scenarios in the spreadsheet format. These then can be uploaded in subsequent sessions.</w:t>
      </w:r>
    </w:p>
    <w:p w14:paraId="338EC403" w14:textId="45A84702" w:rsidR="007624CF" w:rsidRDefault="007624CF" w:rsidP="00746338">
      <w:pPr>
        <w:pStyle w:val="ListParagraph"/>
        <w:numPr>
          <w:ilvl w:val="0"/>
          <w:numId w:val="1"/>
        </w:numPr>
      </w:pPr>
      <w:r>
        <w:rPr>
          <w:b/>
          <w:bCs/>
        </w:rPr>
        <w:t>Compute and Get Result</w:t>
      </w:r>
      <w:r w:rsidR="00DB749D">
        <w:rPr>
          <w:b/>
          <w:bCs/>
        </w:rPr>
        <w:t>s</w:t>
      </w:r>
      <w:r>
        <w:rPr>
          <w:b/>
          <w:bCs/>
        </w:rPr>
        <w:t>:</w:t>
      </w:r>
      <w:r>
        <w:t xml:space="preserve"> Run the analysis using the parameters specified in input fields. Once the analysis is done, an </w:t>
      </w:r>
      <w:r w:rsidRPr="007624CF">
        <w:rPr>
          <w:i/>
          <w:iCs/>
        </w:rPr>
        <w:t>.html</w:t>
      </w:r>
      <w:r>
        <w:t xml:space="preserve"> output is produced. </w:t>
      </w:r>
    </w:p>
    <w:p w14:paraId="36BB0A63" w14:textId="77777777" w:rsidR="005D0EE5" w:rsidRDefault="005D0EE5" w:rsidP="005D0EE5">
      <w:pPr>
        <w:keepNext/>
        <w:jc w:val="center"/>
      </w:pPr>
      <w:r w:rsidRPr="005D0EE5">
        <w:rPr>
          <w:noProof/>
        </w:rPr>
        <w:drawing>
          <wp:inline distT="0" distB="0" distL="0" distR="0" wp14:anchorId="505CA487" wp14:editId="11BE6D2C">
            <wp:extent cx="5949620" cy="2638800"/>
            <wp:effectExtent l="19050" t="19050" r="1333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20" cy="26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73CBE" w14:textId="514E6DD5" w:rsidR="005D0EE5" w:rsidRDefault="005D0EE5" w:rsidP="005D0EE5">
      <w:pPr>
        <w:pStyle w:val="Caption"/>
        <w:jc w:val="center"/>
      </w:pPr>
      <w:r>
        <w:t xml:space="preserve">Figure </w:t>
      </w:r>
      <w:r w:rsidR="00EB3B66">
        <w:fldChar w:fldCharType="begin"/>
      </w:r>
      <w:r w:rsidR="00EB3B66">
        <w:instrText xml:space="preserve"> SEQ Figure \* ARABIC </w:instrText>
      </w:r>
      <w:r w:rsidR="00EB3B66">
        <w:fldChar w:fldCharType="separate"/>
      </w:r>
      <w:r w:rsidR="00C55F85">
        <w:rPr>
          <w:noProof/>
        </w:rPr>
        <w:t>9</w:t>
      </w:r>
      <w:r w:rsidR="00EB3B66">
        <w:rPr>
          <w:noProof/>
        </w:rPr>
        <w:fldChar w:fldCharType="end"/>
      </w:r>
      <w:r>
        <w:t>: Importing, creating, and downloading input and running analysis</w:t>
      </w:r>
      <w:r w:rsidR="005622D9">
        <w:t>.</w:t>
      </w:r>
    </w:p>
    <w:p w14:paraId="3751465D" w14:textId="4405402B" w:rsidR="001E0713" w:rsidRPr="001E0713" w:rsidRDefault="001E0713" w:rsidP="001E0713"/>
    <w:p w14:paraId="187B780E" w14:textId="53B98109" w:rsidR="001E0713" w:rsidRPr="001E0713" w:rsidRDefault="001E0713" w:rsidP="001E0713"/>
    <w:p w14:paraId="0E9808D8" w14:textId="79980063" w:rsidR="001E0713" w:rsidRPr="001E0713" w:rsidRDefault="001E0713" w:rsidP="001E0713"/>
    <w:p w14:paraId="5753BF76" w14:textId="42E5087B" w:rsidR="001E0713" w:rsidRPr="001E0713" w:rsidRDefault="001E0713" w:rsidP="001E0713"/>
    <w:p w14:paraId="67831EC3" w14:textId="2C401501" w:rsidR="001E0713" w:rsidRPr="001E0713" w:rsidRDefault="001E0713" w:rsidP="001E0713"/>
    <w:p w14:paraId="31728C00" w14:textId="12719E2A" w:rsidR="001E0713" w:rsidRPr="001E0713" w:rsidRDefault="001E0713" w:rsidP="001E0713"/>
    <w:p w14:paraId="2BCD73A5" w14:textId="03DA583D" w:rsidR="001E0713" w:rsidRPr="001E0713" w:rsidRDefault="001E0713" w:rsidP="001E0713"/>
    <w:p w14:paraId="6A77C0B9" w14:textId="0F296BA0" w:rsidR="001E0713" w:rsidRDefault="001E0713" w:rsidP="001E0713">
      <w:pPr>
        <w:rPr>
          <w:i/>
          <w:iCs/>
          <w:color w:val="44546A" w:themeColor="text2"/>
          <w:sz w:val="18"/>
          <w:szCs w:val="18"/>
        </w:rPr>
      </w:pPr>
    </w:p>
    <w:p w14:paraId="43129A9D" w14:textId="270EE087" w:rsidR="001E0713" w:rsidRPr="001E0713" w:rsidRDefault="001E0713" w:rsidP="001E0713">
      <w:pPr>
        <w:tabs>
          <w:tab w:val="left" w:pos="530"/>
        </w:tabs>
      </w:pPr>
      <w:r>
        <w:tab/>
      </w:r>
    </w:p>
    <w:p w14:paraId="20081B3C" w14:textId="0E1820DE" w:rsidR="000E358D" w:rsidRDefault="000E358D" w:rsidP="00E10E57">
      <w:pPr>
        <w:pStyle w:val="Heading1"/>
        <w:numPr>
          <w:ilvl w:val="0"/>
          <w:numId w:val="4"/>
        </w:numPr>
      </w:pPr>
      <w:bookmarkStart w:id="12" w:name="_Toc80706158"/>
      <w:r>
        <w:lastRenderedPageBreak/>
        <w:t>Output</w:t>
      </w:r>
      <w:bookmarkEnd w:id="12"/>
    </w:p>
    <w:p w14:paraId="35499816" w14:textId="77777777" w:rsidR="00C71219" w:rsidRDefault="000E358D" w:rsidP="00C71219">
      <w:pPr>
        <w:keepNext/>
        <w:jc w:val="center"/>
      </w:pPr>
      <w:r w:rsidRPr="000E358D">
        <w:rPr>
          <w:noProof/>
        </w:rPr>
        <w:drawing>
          <wp:inline distT="0" distB="0" distL="0" distR="0" wp14:anchorId="1A7EF7C6" wp14:editId="75B30EEC">
            <wp:extent cx="5747364" cy="3687299"/>
            <wp:effectExtent l="19050" t="19050" r="2540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64" cy="3687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24596" w14:textId="27294357" w:rsidR="000E358D" w:rsidRDefault="00C71219" w:rsidP="00C71219">
      <w:pPr>
        <w:pStyle w:val="Caption"/>
        <w:jc w:val="center"/>
      </w:pPr>
      <w:r>
        <w:t xml:space="preserve">Figure </w:t>
      </w:r>
      <w:r w:rsidR="00EB3B66">
        <w:fldChar w:fldCharType="begin"/>
      </w:r>
      <w:r w:rsidR="00EB3B66">
        <w:instrText xml:space="preserve"> SEQ Figure \* ARABIC </w:instrText>
      </w:r>
      <w:r w:rsidR="00EB3B66">
        <w:fldChar w:fldCharType="separate"/>
      </w:r>
      <w:r w:rsidR="00C55F85">
        <w:rPr>
          <w:noProof/>
        </w:rPr>
        <w:t>10</w:t>
      </w:r>
      <w:r w:rsidR="00EB3B66">
        <w:rPr>
          <w:noProof/>
        </w:rPr>
        <w:fldChar w:fldCharType="end"/>
      </w:r>
      <w:r>
        <w:t>: VOI summary tables from output html file.</w:t>
      </w:r>
    </w:p>
    <w:p w14:paraId="12EFF7D1" w14:textId="4AD65641" w:rsidR="00572B00" w:rsidRDefault="005D2B3F" w:rsidP="00E10E57">
      <w:pPr>
        <w:pStyle w:val="Heading2"/>
        <w:numPr>
          <w:ilvl w:val="1"/>
          <w:numId w:val="4"/>
        </w:numPr>
      </w:pPr>
      <w:bookmarkStart w:id="13" w:name="_Toc80706159"/>
      <w:r>
        <w:t xml:space="preserve">VOI </w:t>
      </w:r>
      <w:r w:rsidR="0010470E">
        <w:t>S</w:t>
      </w:r>
      <w:r>
        <w:t xml:space="preserve">ummary </w:t>
      </w:r>
      <w:r w:rsidR="0010470E">
        <w:t>T</w:t>
      </w:r>
      <w:r>
        <w:t>able 1</w:t>
      </w:r>
      <w:bookmarkEnd w:id="13"/>
    </w:p>
    <w:p w14:paraId="48928B27" w14:textId="1E6B7726" w:rsidR="0068348A" w:rsidRPr="0068348A" w:rsidRDefault="0068348A" w:rsidP="0068348A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Optimal Reduction in Exposure (ORE): </w:t>
      </w:r>
      <w:r w:rsidRPr="005D2B3F">
        <w:rPr>
          <w:i/>
          <w:iCs/>
        </w:rPr>
        <w:t xml:space="preserve">This parameter is used only under </w:t>
      </w:r>
      <w:r>
        <w:rPr>
          <w:i/>
          <w:iCs/>
        </w:rPr>
        <w:t>BRDM</w:t>
      </w:r>
      <w:r w:rsidRPr="005D2B3F">
        <w:rPr>
          <w:i/>
          <w:iCs/>
        </w:rPr>
        <w:t xml:space="preserve"> decision rule</w:t>
      </w:r>
      <w:r>
        <w:t>. This is the exposure reduction that would minimize the ETSC across the prior uncertainty distribution. The minimized ETSC corresponds to EV|CI given below.</w:t>
      </w:r>
    </w:p>
    <w:p w14:paraId="30AA8973" w14:textId="5B5E37E1" w:rsidR="005D2B3F" w:rsidRDefault="005D2B3F" w:rsidP="0068348A">
      <w:pPr>
        <w:pStyle w:val="ListParagraph"/>
        <w:numPr>
          <w:ilvl w:val="0"/>
          <w:numId w:val="6"/>
        </w:numPr>
      </w:pPr>
      <w:r w:rsidRPr="005D2B3F">
        <w:rPr>
          <w:b/>
          <w:bCs/>
        </w:rPr>
        <w:t>Expected Value Given Current Information (EV|CI):</w:t>
      </w:r>
      <w:r>
        <w:t xml:space="preserve"> This is the expected cost (ETSC for BRDM, and ETHC for TRDM) for making the “best” decision based solely on currently available information.</w:t>
      </w:r>
    </w:p>
    <w:p w14:paraId="7C6C6E31" w14:textId="15F2B1AB" w:rsidR="003E4941" w:rsidRDefault="005D2B3F" w:rsidP="0068348A">
      <w:pPr>
        <w:pStyle w:val="ListParagraph"/>
        <w:numPr>
          <w:ilvl w:val="0"/>
          <w:numId w:val="6"/>
        </w:numPr>
      </w:pPr>
      <w:r>
        <w:rPr>
          <w:b/>
          <w:bCs/>
        </w:rPr>
        <w:t>Expected Value of Immediate Perfect Information (EVIPI):</w:t>
      </w:r>
      <w:r>
        <w:t xml:space="preserve"> </w:t>
      </w:r>
      <w:r w:rsidR="003E4941">
        <w:t xml:space="preserve">This is the expected reduction in ETSC or ETHC if the decision-maker will have access to perfect information </w:t>
      </w:r>
      <w:r w:rsidR="00632D76">
        <w:t>without</w:t>
      </w:r>
      <w:r w:rsidR="003E4941">
        <w:t xml:space="preserve"> delay.</w:t>
      </w:r>
    </w:p>
    <w:p w14:paraId="1A96B0DC" w14:textId="77777777" w:rsidR="00146826" w:rsidRDefault="00146826" w:rsidP="00146826"/>
    <w:p w14:paraId="138367E6" w14:textId="3D166F2E" w:rsidR="003E4941" w:rsidRDefault="003E4941" w:rsidP="00E10E57">
      <w:pPr>
        <w:pStyle w:val="Heading2"/>
        <w:numPr>
          <w:ilvl w:val="1"/>
          <w:numId w:val="4"/>
        </w:numPr>
      </w:pPr>
      <w:bookmarkStart w:id="14" w:name="_Toc80706160"/>
      <w:r>
        <w:t xml:space="preserve">VOI </w:t>
      </w:r>
      <w:r w:rsidR="0010470E">
        <w:t>S</w:t>
      </w:r>
      <w:r>
        <w:t xml:space="preserve">ummary </w:t>
      </w:r>
      <w:r w:rsidR="0010470E">
        <w:t>T</w:t>
      </w:r>
      <w:r>
        <w:t>able 2</w:t>
      </w:r>
      <w:bookmarkEnd w:id="14"/>
    </w:p>
    <w:p w14:paraId="082835CC" w14:textId="245EC873" w:rsidR="003E4941" w:rsidRDefault="003E4941" w:rsidP="0068348A">
      <w:pPr>
        <w:pStyle w:val="ListParagraph"/>
        <w:numPr>
          <w:ilvl w:val="0"/>
          <w:numId w:val="6"/>
        </w:numPr>
      </w:pPr>
      <w:r w:rsidRPr="00632D76">
        <w:rPr>
          <w:b/>
          <w:bCs/>
        </w:rPr>
        <w:t>Expected Value of Immediate Sample Information (EVISI):</w:t>
      </w:r>
      <w:r>
        <w:t xml:space="preserve"> This is the expected reduction in ETSC or ETHC by considering </w:t>
      </w:r>
      <w:r w:rsidR="00632D76">
        <w:t>toxicity testing results via Test A or Test B</w:t>
      </w:r>
      <w:r w:rsidR="00632D76">
        <w:rPr>
          <w:rFonts w:hint="eastAsia"/>
        </w:rPr>
        <w:t>.</w:t>
      </w:r>
      <w:r w:rsidR="00632D76">
        <w:t xml:space="preserve"> This value is bounded by EVIPI.</w:t>
      </w:r>
    </w:p>
    <w:p w14:paraId="633CAF27" w14:textId="19C2E3A5" w:rsidR="00632D76" w:rsidRDefault="00632D76" w:rsidP="0068348A">
      <w:pPr>
        <w:pStyle w:val="ListParagraph"/>
        <w:numPr>
          <w:ilvl w:val="0"/>
          <w:numId w:val="6"/>
        </w:numPr>
      </w:pPr>
      <w:r>
        <w:rPr>
          <w:b/>
          <w:bCs/>
        </w:rPr>
        <w:t>Cost of Delay</w:t>
      </w:r>
      <w:r w:rsidR="00847F0C">
        <w:rPr>
          <w:b/>
          <w:bCs/>
        </w:rPr>
        <w:t xml:space="preserve"> (</w:t>
      </w:r>
      <w:proofErr w:type="spellStart"/>
      <w:r w:rsidR="00847F0C">
        <w:rPr>
          <w:b/>
          <w:bCs/>
        </w:rPr>
        <w:t>CoD</w:t>
      </w:r>
      <w:proofErr w:type="spellEnd"/>
      <w:r w:rsidR="00847F0C">
        <w:rPr>
          <w:b/>
          <w:bCs/>
        </w:rPr>
        <w:t>)</w:t>
      </w:r>
      <w:r>
        <w:rPr>
          <w:b/>
          <w:bCs/>
        </w:rPr>
        <w:t xml:space="preserve">: </w:t>
      </w:r>
      <w:r>
        <w:t>This is the loss in VOI due to a delay in decision-making from collecting and analyzing toxicity test results.</w:t>
      </w:r>
    </w:p>
    <w:p w14:paraId="430824FF" w14:textId="5BF0836E" w:rsidR="00847F0C" w:rsidRDefault="00847F0C" w:rsidP="0068348A">
      <w:pPr>
        <w:pStyle w:val="ListParagraph"/>
        <w:numPr>
          <w:ilvl w:val="0"/>
          <w:numId w:val="6"/>
        </w:numPr>
      </w:pPr>
      <w:r>
        <w:rPr>
          <w:b/>
          <w:bCs/>
        </w:rPr>
        <w:t>Expected Value of Delayed Sample Information (EVDSI):</w:t>
      </w:r>
      <w:r>
        <w:t xml:space="preserve"> This is the expected reduction in ETSC or ETHC by considering toxicity testing results via Test A or Test B, including the delay in decision-making due to collection and analysis of a toxicity test. EVDSI is obtained by subtracting </w:t>
      </w:r>
      <w:proofErr w:type="spellStart"/>
      <w:r>
        <w:t>CoD</w:t>
      </w:r>
      <w:proofErr w:type="spellEnd"/>
      <w:r>
        <w:t xml:space="preserve"> from EVISI.</w:t>
      </w:r>
    </w:p>
    <w:p w14:paraId="34EEFBC9" w14:textId="021C90E6" w:rsidR="00847F0C" w:rsidRDefault="00847F0C" w:rsidP="0068348A">
      <w:pPr>
        <w:pStyle w:val="ListParagraph"/>
        <w:numPr>
          <w:ilvl w:val="0"/>
          <w:numId w:val="6"/>
        </w:numPr>
      </w:pPr>
      <w:r>
        <w:rPr>
          <w:b/>
          <w:bCs/>
        </w:rPr>
        <w:t>Expected Net Benefit of Sampling (ENBS):</w:t>
      </w:r>
      <w:r>
        <w:t xml:space="preserve"> This value is calculated by subtracting the cost of obtaining and analyzing toxicity testing result from EVDSI. A positive ENBS implies that performing toxicity testing prior to </w:t>
      </w:r>
      <w:proofErr w:type="gramStart"/>
      <w:r>
        <w:t>making a decision</w:t>
      </w:r>
      <w:proofErr w:type="gramEnd"/>
      <w:r>
        <w:t xml:space="preserve"> is favourable, whereas negative ENBS values mean that the additional information collected does not provide sufficient value to offset the cost of testing.</w:t>
      </w:r>
    </w:p>
    <w:p w14:paraId="6B5F23C3" w14:textId="78B077F7" w:rsidR="00847F0C" w:rsidRDefault="00847F0C" w:rsidP="0068348A">
      <w:pPr>
        <w:pStyle w:val="ListParagraph"/>
        <w:numPr>
          <w:ilvl w:val="0"/>
          <w:numId w:val="6"/>
        </w:numPr>
      </w:pPr>
      <w:r>
        <w:rPr>
          <w:b/>
          <w:bCs/>
        </w:rPr>
        <w:t>Return on Investment (ROI):</w:t>
      </w:r>
      <w:r>
        <w:t xml:space="preserve"> As the ratio of ENBS over cost of testing, ROI can provide the greatest value per dollar spent.</w:t>
      </w:r>
    </w:p>
    <w:p w14:paraId="1E0953E9" w14:textId="5A18B042" w:rsidR="00DE5F4C" w:rsidRDefault="00146826" w:rsidP="00E10E57">
      <w:pPr>
        <w:pStyle w:val="Heading2"/>
        <w:numPr>
          <w:ilvl w:val="1"/>
          <w:numId w:val="4"/>
        </w:numPr>
      </w:pPr>
      <w:bookmarkStart w:id="15" w:name="_Toc80706161"/>
      <w:r>
        <w:lastRenderedPageBreak/>
        <w:t xml:space="preserve">VOI </w:t>
      </w:r>
      <w:r w:rsidR="0010470E">
        <w:t>S</w:t>
      </w:r>
      <w:r>
        <w:t xml:space="preserve">ummary </w:t>
      </w:r>
      <w:r w:rsidR="0010470E">
        <w:t>T</w:t>
      </w:r>
      <w:r>
        <w:t>able 3</w:t>
      </w:r>
      <w:bookmarkEnd w:id="15"/>
    </w:p>
    <w:p w14:paraId="4B772C68" w14:textId="5F9129FF" w:rsidR="00146826" w:rsidRDefault="00146826" w:rsidP="00146826">
      <w:r w:rsidRPr="003A3CFB">
        <w:t xml:space="preserve">Under the presence of uncertainty about </w:t>
      </w:r>
      <m:oMath>
        <m:r>
          <w:rPr>
            <w:rFonts w:ascii="Cambria Math" w:hAnsi="Cambria Math"/>
          </w:rPr>
          <m:t>R</m:t>
        </m:r>
      </m:oMath>
      <w:r w:rsidRPr="003A3CFB">
        <w:t>, the TRDM requires assurance that the risk is above or below the TRL before concluding whether</w:t>
      </w:r>
      <w:r w:rsidRPr="00DA5379">
        <w:t xml:space="preserve"> </w:t>
      </w:r>
      <w:r w:rsidRPr="003A3CFB">
        <w:t>risk mitigation is</w:t>
      </w:r>
      <w:r w:rsidRPr="00DA5379">
        <w:t xml:space="preserve">, or is not, </w:t>
      </w:r>
      <w:r w:rsidRPr="003A3CFB">
        <w:t>required</w:t>
      </w:r>
      <w:r>
        <w:t>. VOI summary table 3 provides the probabilities of (1) a decision made to regulate, (2) a decision made not to regulate, and (3) a decision made based on additional information.</w:t>
      </w:r>
      <w:r w:rsidR="0068348A">
        <w:t xml:space="preserve"> Similarly for BRDM, these probabilities are computed by checking how often </w:t>
      </w:r>
      <m:oMath>
        <m:r>
          <w:rPr>
            <w:rFonts w:ascii="Cambria Math" w:hAnsi="Cambria Math"/>
          </w:rPr>
          <m:t>k&gt;0</m:t>
        </m:r>
      </m:oMath>
      <w:r w:rsidR="0068348A">
        <w:t>.</w:t>
      </w:r>
    </w:p>
    <w:p w14:paraId="0D70AF70" w14:textId="77777777" w:rsidR="00746338" w:rsidRDefault="00746338" w:rsidP="00146826"/>
    <w:p w14:paraId="52C2923D" w14:textId="39D4AB71" w:rsidR="00146826" w:rsidRDefault="00146826" w:rsidP="00E10E57">
      <w:pPr>
        <w:pStyle w:val="Heading2"/>
        <w:numPr>
          <w:ilvl w:val="1"/>
          <w:numId w:val="4"/>
        </w:numPr>
      </w:pPr>
      <w:bookmarkStart w:id="16" w:name="_Toc80706162"/>
      <w:r>
        <w:t>Response Surface Analysis</w:t>
      </w:r>
      <w:bookmarkEnd w:id="16"/>
    </w:p>
    <w:p w14:paraId="436F63A1" w14:textId="0E9770E0" w:rsidR="00146826" w:rsidRDefault="00040F75" w:rsidP="00146826">
      <w:r>
        <w:t>The response surface provides a visual representation of how the amount of uncertainty reduction and the delay in decision-making affect the resulting VOI. This interactive plot allows the user to examine the relationship between delay in decision-making, amount of uncertainty reduced, and resulting EVDSI from various angles. As a reference, EVDSI values based on Test A and Test B are also plotted here. A table with corresponding EVDSI values is also provided.</w:t>
      </w:r>
    </w:p>
    <w:p w14:paraId="14B4B63B" w14:textId="7FAFA080" w:rsidR="00C71219" w:rsidRDefault="00746338" w:rsidP="00C71219">
      <w:pPr>
        <w:keepNext/>
        <w:jc w:val="center"/>
      </w:pPr>
      <w:r w:rsidRPr="00746338">
        <w:rPr>
          <w:noProof/>
        </w:rPr>
        <w:drawing>
          <wp:inline distT="0" distB="0" distL="0" distR="0" wp14:anchorId="38009C5F" wp14:editId="000541E4">
            <wp:extent cx="2155481" cy="2430000"/>
            <wp:effectExtent l="19050" t="19050" r="1651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481" cy="243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71219" w:rsidRPr="00746338">
        <w:rPr>
          <w:noProof/>
        </w:rPr>
        <w:drawing>
          <wp:inline distT="0" distB="0" distL="0" distR="0" wp14:anchorId="0FAD3F0C" wp14:editId="562C5720">
            <wp:extent cx="3360804" cy="2419200"/>
            <wp:effectExtent l="19050" t="19050" r="1143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804" cy="24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FABE7" w14:textId="61A1D090" w:rsidR="00C71219" w:rsidRDefault="00C71219" w:rsidP="00C71219">
      <w:pPr>
        <w:pStyle w:val="Caption"/>
        <w:jc w:val="center"/>
      </w:pPr>
      <w:r>
        <w:t xml:space="preserve">Figure </w:t>
      </w:r>
      <w:r w:rsidR="00EB3B66">
        <w:fldChar w:fldCharType="begin"/>
      </w:r>
      <w:r w:rsidR="00EB3B66">
        <w:instrText xml:space="preserve"> SEQ Figure \* ARABIC </w:instrText>
      </w:r>
      <w:r w:rsidR="00EB3B66">
        <w:fldChar w:fldCharType="separate"/>
      </w:r>
      <w:r w:rsidR="00C55F85">
        <w:rPr>
          <w:noProof/>
        </w:rPr>
        <w:t>11</w:t>
      </w:r>
      <w:r w:rsidR="00EB3B66">
        <w:rPr>
          <w:noProof/>
        </w:rPr>
        <w:fldChar w:fldCharType="end"/>
      </w:r>
      <w:r>
        <w:t>: Response surface plot (left) and corresponding EVDSI table (right) from output html file.</w:t>
      </w:r>
    </w:p>
    <w:p w14:paraId="219D1FE5" w14:textId="77777777" w:rsidR="00415791" w:rsidRDefault="00415791" w:rsidP="00415791">
      <w:pPr>
        <w:rPr>
          <w:noProof/>
        </w:rPr>
      </w:pPr>
    </w:p>
    <w:p w14:paraId="0B17BC39" w14:textId="588AD004" w:rsidR="00EC3CEF" w:rsidRDefault="00415791" w:rsidP="00415791">
      <w:pPr>
        <w:pStyle w:val="Heading2"/>
        <w:numPr>
          <w:ilvl w:val="1"/>
          <w:numId w:val="4"/>
        </w:numPr>
        <w:rPr>
          <w:noProof/>
        </w:rPr>
      </w:pPr>
      <w:bookmarkStart w:id="17" w:name="_Toc80706163"/>
      <w:r>
        <w:rPr>
          <w:noProof/>
        </w:rPr>
        <w:t>List of input parameters</w:t>
      </w:r>
      <w:bookmarkEnd w:id="17"/>
    </w:p>
    <w:p w14:paraId="3C9C703E" w14:textId="7BEDD3EB" w:rsidR="00415791" w:rsidRPr="00415791" w:rsidRDefault="00415791" w:rsidP="00415791">
      <w:r>
        <w:t>The list of parameters used for the analysis is provided at the end of the output file as a reference.</w:t>
      </w:r>
    </w:p>
    <w:p w14:paraId="4235CF5E" w14:textId="77777777" w:rsidR="00415791" w:rsidRDefault="00415791" w:rsidP="00415791">
      <w:pPr>
        <w:keepNext/>
        <w:jc w:val="center"/>
      </w:pPr>
      <w:r w:rsidRPr="00415791">
        <w:rPr>
          <w:noProof/>
        </w:rPr>
        <w:drawing>
          <wp:inline distT="0" distB="0" distL="0" distR="0" wp14:anchorId="03831680" wp14:editId="473A4963">
            <wp:extent cx="3517200" cy="1942505"/>
            <wp:effectExtent l="19050" t="19050" r="2667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00" cy="1942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10F82" w14:textId="192A97CE" w:rsidR="00415791" w:rsidRDefault="00415791" w:rsidP="00415791">
      <w:pPr>
        <w:pStyle w:val="Caption"/>
        <w:jc w:val="center"/>
      </w:pPr>
      <w:r>
        <w:t xml:space="preserve">Figure </w:t>
      </w:r>
      <w:r w:rsidR="00EB3B66">
        <w:fldChar w:fldCharType="begin"/>
      </w:r>
      <w:r w:rsidR="00EB3B66">
        <w:instrText xml:space="preserve"> SEQ Figure \* ARABIC </w:instrText>
      </w:r>
      <w:r w:rsidR="00EB3B66">
        <w:fldChar w:fldCharType="separate"/>
      </w:r>
      <w:r w:rsidR="00C55F85">
        <w:rPr>
          <w:noProof/>
        </w:rPr>
        <w:t>12</w:t>
      </w:r>
      <w:r w:rsidR="00EB3B66">
        <w:rPr>
          <w:noProof/>
        </w:rPr>
        <w:fldChar w:fldCharType="end"/>
      </w:r>
      <w:r>
        <w:t>: List of parameters used in the VOI analysis</w:t>
      </w:r>
    </w:p>
    <w:p w14:paraId="0444ECE3" w14:textId="2912683E" w:rsidR="007624CF" w:rsidRPr="007624CF" w:rsidRDefault="007624CF" w:rsidP="00415791">
      <w:pPr>
        <w:jc w:val="center"/>
      </w:pPr>
      <w:r>
        <w:tab/>
      </w:r>
    </w:p>
    <w:sectPr w:rsidR="007624CF" w:rsidRPr="007624CF" w:rsidSect="00415791">
      <w:footerReference w:type="default" r:id="rId21"/>
      <w:pgSz w:w="12240" w:h="15840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24535" w14:textId="77777777" w:rsidR="00EB3B66" w:rsidRDefault="00EB3B66" w:rsidP="003629F8">
      <w:pPr>
        <w:spacing w:after="0" w:line="240" w:lineRule="auto"/>
      </w:pPr>
      <w:r>
        <w:separator/>
      </w:r>
    </w:p>
  </w:endnote>
  <w:endnote w:type="continuationSeparator" w:id="0">
    <w:p w14:paraId="7ADBCEAF" w14:textId="77777777" w:rsidR="00EB3B66" w:rsidRDefault="00EB3B66" w:rsidP="0036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D4F3" w14:textId="0F12A978" w:rsidR="003629F8" w:rsidRDefault="00EB3B66" w:rsidP="003629F8">
    <w:pPr>
      <w:pStyle w:val="Footer"/>
      <w:tabs>
        <w:tab w:val="clear" w:pos="4680"/>
        <w:tab w:val="clear" w:pos="9360"/>
        <w:tab w:val="left" w:pos="8931"/>
      </w:tabs>
      <w:ind w:right="440"/>
    </w:pPr>
    <w:sdt>
      <w:sdtPr>
        <w:id w:val="14046941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8B0687">
              <w:t>Last updated: September 3</w:t>
            </w:r>
            <w:r w:rsidR="003629F8">
              <w:t>, 2021</w:t>
            </w:r>
            <w:r w:rsidR="003629F8">
              <w:tab/>
            </w:r>
            <w:r w:rsidR="00415791">
              <w:tab/>
            </w:r>
            <w:r w:rsidR="003629F8">
              <w:t xml:space="preserve"> Page </w:t>
            </w:r>
            <w:r w:rsidR="003629F8">
              <w:rPr>
                <w:b/>
                <w:bCs/>
                <w:sz w:val="24"/>
                <w:szCs w:val="24"/>
              </w:rPr>
              <w:fldChar w:fldCharType="begin"/>
            </w:r>
            <w:r w:rsidR="003629F8">
              <w:rPr>
                <w:b/>
                <w:bCs/>
              </w:rPr>
              <w:instrText xml:space="preserve"> PAGE </w:instrText>
            </w:r>
            <w:r w:rsidR="003629F8">
              <w:rPr>
                <w:b/>
                <w:bCs/>
                <w:sz w:val="24"/>
                <w:szCs w:val="24"/>
              </w:rPr>
              <w:fldChar w:fldCharType="separate"/>
            </w:r>
            <w:r w:rsidR="003629F8">
              <w:rPr>
                <w:b/>
                <w:bCs/>
                <w:noProof/>
              </w:rPr>
              <w:t>2</w:t>
            </w:r>
            <w:r w:rsidR="003629F8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A5D43" w14:textId="77777777" w:rsidR="00EB3B66" w:rsidRDefault="00EB3B66" w:rsidP="003629F8">
      <w:pPr>
        <w:spacing w:after="0" w:line="240" w:lineRule="auto"/>
      </w:pPr>
      <w:r>
        <w:separator/>
      </w:r>
    </w:p>
  </w:footnote>
  <w:footnote w:type="continuationSeparator" w:id="0">
    <w:p w14:paraId="7171E5AF" w14:textId="77777777" w:rsidR="00EB3B66" w:rsidRDefault="00EB3B66" w:rsidP="00362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344"/>
    <w:multiLevelType w:val="hybridMultilevel"/>
    <w:tmpl w:val="5FD24E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1678"/>
    <w:multiLevelType w:val="hybridMultilevel"/>
    <w:tmpl w:val="4F98E6FE"/>
    <w:lvl w:ilvl="0" w:tplc="A2D8A6D0">
      <w:start w:val="4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B2FA6"/>
    <w:multiLevelType w:val="hybridMultilevel"/>
    <w:tmpl w:val="F7F41750"/>
    <w:lvl w:ilvl="0" w:tplc="31F4A734">
      <w:start w:val="3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E2EB0"/>
    <w:multiLevelType w:val="hybridMultilevel"/>
    <w:tmpl w:val="B23AEF9C"/>
    <w:lvl w:ilvl="0" w:tplc="8A1E32BA">
      <w:start w:val="4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32DD2"/>
    <w:multiLevelType w:val="multilevel"/>
    <w:tmpl w:val="ECECD3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EC73276"/>
    <w:multiLevelType w:val="hybridMultilevel"/>
    <w:tmpl w:val="57722422"/>
    <w:lvl w:ilvl="0" w:tplc="137E2D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EF"/>
    <w:rsid w:val="00000DD8"/>
    <w:rsid w:val="00040F75"/>
    <w:rsid w:val="00065676"/>
    <w:rsid w:val="00072A97"/>
    <w:rsid w:val="000815C6"/>
    <w:rsid w:val="00082AAD"/>
    <w:rsid w:val="000C302E"/>
    <w:rsid w:val="000E358D"/>
    <w:rsid w:val="0010470E"/>
    <w:rsid w:val="00111E11"/>
    <w:rsid w:val="00146826"/>
    <w:rsid w:val="001526DB"/>
    <w:rsid w:val="0016407F"/>
    <w:rsid w:val="001A3254"/>
    <w:rsid w:val="001A607C"/>
    <w:rsid w:val="001A756A"/>
    <w:rsid w:val="001C6EC1"/>
    <w:rsid w:val="001E0713"/>
    <w:rsid w:val="001E7376"/>
    <w:rsid w:val="00221E2C"/>
    <w:rsid w:val="002300C9"/>
    <w:rsid w:val="002952FB"/>
    <w:rsid w:val="002B79D9"/>
    <w:rsid w:val="003629F8"/>
    <w:rsid w:val="00377028"/>
    <w:rsid w:val="003D531A"/>
    <w:rsid w:val="003E37A7"/>
    <w:rsid w:val="003E4941"/>
    <w:rsid w:val="003F181A"/>
    <w:rsid w:val="003F6876"/>
    <w:rsid w:val="00415791"/>
    <w:rsid w:val="00431B69"/>
    <w:rsid w:val="00534CFE"/>
    <w:rsid w:val="00534E18"/>
    <w:rsid w:val="005622D9"/>
    <w:rsid w:val="00572B00"/>
    <w:rsid w:val="00595099"/>
    <w:rsid w:val="005D0EE5"/>
    <w:rsid w:val="005D2B3F"/>
    <w:rsid w:val="006035E4"/>
    <w:rsid w:val="00632D76"/>
    <w:rsid w:val="00641176"/>
    <w:rsid w:val="0068348A"/>
    <w:rsid w:val="00691742"/>
    <w:rsid w:val="006C457B"/>
    <w:rsid w:val="006D6E37"/>
    <w:rsid w:val="006F175C"/>
    <w:rsid w:val="006F6A01"/>
    <w:rsid w:val="007207CB"/>
    <w:rsid w:val="007411ED"/>
    <w:rsid w:val="00746338"/>
    <w:rsid w:val="007624CF"/>
    <w:rsid w:val="007635C0"/>
    <w:rsid w:val="007770C5"/>
    <w:rsid w:val="007D18F7"/>
    <w:rsid w:val="00847F0C"/>
    <w:rsid w:val="00895540"/>
    <w:rsid w:val="008B0687"/>
    <w:rsid w:val="008E1901"/>
    <w:rsid w:val="00905898"/>
    <w:rsid w:val="009212E4"/>
    <w:rsid w:val="009337DB"/>
    <w:rsid w:val="009852C4"/>
    <w:rsid w:val="009857C1"/>
    <w:rsid w:val="009903C4"/>
    <w:rsid w:val="009A4501"/>
    <w:rsid w:val="009D2E8C"/>
    <w:rsid w:val="00AF3B1D"/>
    <w:rsid w:val="00AF5F6A"/>
    <w:rsid w:val="00B15CE8"/>
    <w:rsid w:val="00B65075"/>
    <w:rsid w:val="00BF6743"/>
    <w:rsid w:val="00C435C8"/>
    <w:rsid w:val="00C55F85"/>
    <w:rsid w:val="00C71219"/>
    <w:rsid w:val="00C76F39"/>
    <w:rsid w:val="00CD3938"/>
    <w:rsid w:val="00D8079B"/>
    <w:rsid w:val="00D80EA9"/>
    <w:rsid w:val="00DB749D"/>
    <w:rsid w:val="00DC2BAD"/>
    <w:rsid w:val="00DE5F4C"/>
    <w:rsid w:val="00E10E57"/>
    <w:rsid w:val="00E62BBD"/>
    <w:rsid w:val="00EB3B66"/>
    <w:rsid w:val="00EC3CEF"/>
    <w:rsid w:val="00EF3EA3"/>
    <w:rsid w:val="00F16E4B"/>
    <w:rsid w:val="00F43E18"/>
    <w:rsid w:val="00F849BE"/>
    <w:rsid w:val="00FE1D0D"/>
    <w:rsid w:val="00FF636E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FEC22"/>
  <w15:chartTrackingRefBased/>
  <w15:docId w15:val="{3822EDC9-86B2-4396-9D8D-8C77555A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C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A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3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C3CE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82A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EA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463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63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3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63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463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9F8"/>
  </w:style>
  <w:style w:type="paragraph" w:styleId="Footer">
    <w:name w:val="footer"/>
    <w:basedOn w:val="Normal"/>
    <w:link w:val="FooterChar"/>
    <w:uiPriority w:val="99"/>
    <w:unhideWhenUsed/>
    <w:rsid w:val="0036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9F8"/>
  </w:style>
  <w:style w:type="paragraph" w:styleId="Caption">
    <w:name w:val="caption"/>
    <w:basedOn w:val="Normal"/>
    <w:next w:val="Normal"/>
    <w:uiPriority w:val="35"/>
    <w:unhideWhenUsed/>
    <w:qFormat/>
    <w:rsid w:val="00E62B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B4086-9087-41AD-8059-13D8A911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2716</Words>
  <Characters>15487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Shintaro Hagiwara</dc:creator>
  <cp:keywords/>
  <dc:description/>
  <cp:lastModifiedBy>Shintaro Hagiwara</cp:lastModifiedBy>
  <cp:revision>14</cp:revision>
  <cp:lastPrinted>2021-09-03T17:29:00Z</cp:lastPrinted>
  <dcterms:created xsi:type="dcterms:W3CDTF">2021-06-05T19:24:00Z</dcterms:created>
  <dcterms:modified xsi:type="dcterms:W3CDTF">2021-09-03T17:29:00Z</dcterms:modified>
</cp:coreProperties>
</file>