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4A777A"/>
          <w:sz w:val="24"/>
        </w:rPr>
        <w:t>Digital Unicorn</w:t>
        <w:br/>
      </w:r>
      <w:r>
        <w:rPr>
          <w:b/>
          <w:color w:val="1B365D"/>
          <w:sz w:val="48"/>
        </w:rPr>
        <w:t>Product Requirements Document</w:t>
        <w:br/>
        <w:t>Deuxième Souffle</w:t>
      </w:r>
    </w:p>
    <w:p>
      <w:pPr>
        <w:spacing w:after="480"/>
      </w:pPr>
      <w:r>
        <w:rPr>
          <w:i/>
          <w:color w:val="666666"/>
          <w:sz w:val="26"/>
        </w:rPr>
        <w:t>APA Coaching Coordination Platform for EHPADs</w:t>
        <w:br/>
        <w:t>Confidential Document</w:t>
      </w:r>
    </w:p>
    <w:tbl>
      <w:tblPr>
        <w:tblW w:type="auto" w:w="0"/>
        <w:jc w:val="left"/>
        <w:tblLayout w:type="fixed"/>
        <w:tblLook w:firstColumn="1" w:firstRow="1" w:lastColumn="0" w:lastRow="0" w:noHBand="0" w:noVBand="1" w:val="04A0"/>
      </w:tblPr>
      <w:tblGrid>
        <w:gridCol w:w="4514"/>
        <w:gridCol w:w="4514"/>
      </w:tblGrid>
      <w:tr>
        <w:tc>
          <w:tcPr>
            <w:tcW w:type="dxa" w:w="2160"/>
            <w:tcMar>
              <w:top w:w="80" w:type="dxa"/>
              <w:bottom w:w="80" w:type="dxa"/>
              <w:left w:w="100" w:type="dxa"/>
              <w:right w:w="100" w:type="dxa"/>
            </w:tcMar>
            <w:shd w:fill="F4F6F8"/>
            <w:tcBorders>
              <w:top w:val="none"/>
              <w:bottom w:val="single" w:sz="4" w:space="0" w:color="E0E0E0"/>
              <w:left w:val="none"/>
              <w:right w:val="none"/>
            </w:tcBorders>
          </w:tcPr>
          <w:p>
            <w:pPr>
              <w:spacing w:after="0"/>
            </w:pPr>
            <w:r>
              <w:rPr>
                <w:rFonts w:ascii="Calibri" w:hAnsi="Calibri"/>
                <w:b/>
                <w:color w:val="1B365D"/>
                <w:sz w:val="20"/>
              </w:rPr>
              <w:t>Project</w:t>
            </w:r>
          </w:p>
        </w:tc>
        <w:tc>
          <w:tcPr>
            <w:tcW w:type="dxa" w:w="6480"/>
            <w:tcMar>
              <w:top w:w="80" w:type="dxa"/>
              <w:bottom w:w="80" w:type="dxa"/>
              <w:left w:w="100" w:type="dxa"/>
              <w:right w:w="100" w:type="dxa"/>
            </w:tcMar>
            <w:shd w:fill="F4F6F8"/>
            <w:tcBorders>
              <w:top w:val="none"/>
              <w:bottom w:val="single" w:sz="4" w:space="0" w:color="E0E0E0"/>
              <w:left w:val="none"/>
              <w:right w:val="none"/>
            </w:tcBorders>
          </w:tcPr>
          <w:p>
            <w:pPr>
              <w:spacing w:after="0"/>
            </w:pPr>
            <w:r>
              <w:rPr>
                <w:rFonts w:ascii="Calibri" w:hAnsi="Calibri"/>
                <w:sz w:val="20"/>
              </w:rPr>
              <w:t>Deuxième Souffle - APA Coaching Coordination Platform for EHPADS</w:t>
            </w:r>
          </w:p>
        </w:tc>
      </w:tr>
      <w:tr>
        <w:tc>
          <w:tcPr>
            <w:tcW w:type="dxa" w:w="2160"/>
            <w:tcMar>
              <w:top w:w="80" w:type="dxa"/>
              <w:bottom w:w="80" w:type="dxa"/>
              <w:left w:w="100" w:type="dxa"/>
              <w:right w:w="100" w:type="dxa"/>
            </w:tcMar>
            <w:shd w:fill="FFFFFF"/>
            <w:tcBorders>
              <w:top w:val="none"/>
              <w:bottom w:val="single" w:sz="4" w:space="0" w:color="E0E0E0"/>
              <w:left w:val="none"/>
              <w:right w:val="none"/>
            </w:tcBorders>
          </w:tcPr>
          <w:p>
            <w:pPr>
              <w:spacing w:after="0"/>
            </w:pPr>
            <w:r>
              <w:rPr>
                <w:rFonts w:ascii="Calibri" w:hAnsi="Calibri"/>
                <w:b/>
                <w:color w:val="1B365D"/>
                <w:sz w:val="20"/>
              </w:rPr>
              <w:t>Version</w:t>
            </w:r>
          </w:p>
        </w:tc>
        <w:tc>
          <w:tcPr>
            <w:tcW w:type="dxa" w:w="6480"/>
            <w:tcMar>
              <w:top w:w="80" w:type="dxa"/>
              <w:bottom w:w="80" w:type="dxa"/>
              <w:left w:w="100" w:type="dxa"/>
              <w:right w:w="100" w:type="dxa"/>
            </w:tcMar>
            <w:shd w:fill="FFFFFF"/>
            <w:tcBorders>
              <w:top w:val="none"/>
              <w:bottom w:val="single" w:sz="4" w:space="0" w:color="E0E0E0"/>
              <w:left w:val="none"/>
              <w:right w:val="none"/>
            </w:tcBorders>
          </w:tcPr>
          <w:p>
            <w:pPr>
              <w:spacing w:after="0"/>
            </w:pPr>
            <w:r>
              <w:rPr>
                <w:rFonts w:ascii="Calibri" w:hAnsi="Calibri"/>
                <w:sz w:val="20"/>
              </w:rPr>
              <w:t>v0.2 Draft</w:t>
            </w:r>
          </w:p>
        </w:tc>
      </w:tr>
      <w:tr>
        <w:tc>
          <w:tcPr>
            <w:tcW w:type="dxa" w:w="2160"/>
            <w:tcMar>
              <w:top w:w="80" w:type="dxa"/>
              <w:bottom w:w="80" w:type="dxa"/>
              <w:left w:w="100" w:type="dxa"/>
              <w:right w:w="100" w:type="dxa"/>
            </w:tcMar>
            <w:shd w:fill="F4F6F8"/>
            <w:tcBorders>
              <w:top w:val="none"/>
              <w:bottom w:val="single" w:sz="4" w:space="0" w:color="E0E0E0"/>
              <w:left w:val="none"/>
              <w:right w:val="none"/>
            </w:tcBorders>
          </w:tcPr>
          <w:p>
            <w:pPr>
              <w:spacing w:after="0"/>
            </w:pPr>
            <w:r>
              <w:rPr>
                <w:rFonts w:ascii="Calibri" w:hAnsi="Calibri"/>
                <w:b/>
                <w:color w:val="1B365D"/>
                <w:sz w:val="20"/>
              </w:rPr>
              <w:t>Date</w:t>
            </w:r>
          </w:p>
        </w:tc>
        <w:tc>
          <w:tcPr>
            <w:tcW w:type="dxa" w:w="6480"/>
            <w:tcMar>
              <w:top w:w="80" w:type="dxa"/>
              <w:bottom w:w="80" w:type="dxa"/>
              <w:left w:w="100" w:type="dxa"/>
              <w:right w:w="100" w:type="dxa"/>
            </w:tcMar>
            <w:shd w:fill="F4F6F8"/>
            <w:tcBorders>
              <w:top w:val="none"/>
              <w:bottom w:val="single" w:sz="4" w:space="0" w:color="E0E0E0"/>
              <w:left w:val="none"/>
              <w:right w:val="none"/>
            </w:tcBorders>
          </w:tcPr>
          <w:p>
            <w:pPr>
              <w:spacing w:after="0"/>
            </w:pPr>
            <w:r>
              <w:rPr>
                <w:rFonts w:ascii="Calibri" w:hAnsi="Calibri"/>
                <w:sz w:val="20"/>
              </w:rPr>
              <w:t>May 21, 2026</w:t>
            </w:r>
          </w:p>
        </w:tc>
      </w:tr>
      <w:tr>
        <w:tc>
          <w:tcPr>
            <w:tcW w:type="dxa" w:w="2160"/>
            <w:tcMar>
              <w:top w:w="80" w:type="dxa"/>
              <w:bottom w:w="80" w:type="dxa"/>
              <w:left w:w="100" w:type="dxa"/>
              <w:right w:w="100" w:type="dxa"/>
            </w:tcMar>
            <w:shd w:fill="FFFFFF"/>
            <w:tcBorders>
              <w:top w:val="none"/>
              <w:bottom w:val="single" w:sz="4" w:space="0" w:color="E0E0E0"/>
              <w:left w:val="none"/>
              <w:right w:val="none"/>
            </w:tcBorders>
          </w:tcPr>
          <w:p>
            <w:pPr>
              <w:spacing w:after="0"/>
            </w:pPr>
            <w:r>
              <w:rPr>
                <w:rFonts w:ascii="Calibri" w:hAnsi="Calibri"/>
                <w:b/>
                <w:color w:val="1B365D"/>
                <w:sz w:val="20"/>
              </w:rPr>
              <w:t>Lead PM</w:t>
            </w:r>
          </w:p>
        </w:tc>
        <w:tc>
          <w:tcPr>
            <w:tcW w:type="dxa" w:w="6480"/>
            <w:tcMar>
              <w:top w:w="80" w:type="dxa"/>
              <w:bottom w:w="80" w:type="dxa"/>
              <w:left w:w="100" w:type="dxa"/>
              <w:right w:w="100" w:type="dxa"/>
            </w:tcMar>
            <w:shd w:fill="FFFFFF"/>
            <w:tcBorders>
              <w:top w:val="none"/>
              <w:bottom w:val="single" w:sz="4" w:space="0" w:color="E0E0E0"/>
              <w:left w:val="none"/>
              <w:right w:val="none"/>
            </w:tcBorders>
          </w:tcPr>
          <w:p>
            <w:pPr>
              <w:spacing w:after="0"/>
            </w:pPr>
            <w:r>
              <w:rPr>
                <w:rFonts w:ascii="Calibri" w:hAnsi="Calibri"/>
                <w:sz w:val="20"/>
              </w:rPr>
              <w:t>Baptiste Liscouët</w:t>
            </w:r>
          </w:p>
        </w:tc>
      </w:tr>
      <w:tr>
        <w:tc>
          <w:tcPr>
            <w:tcW w:type="dxa" w:w="2160"/>
            <w:tcMar>
              <w:top w:w="80" w:type="dxa"/>
              <w:bottom w:w="80" w:type="dxa"/>
              <w:left w:w="100" w:type="dxa"/>
              <w:right w:w="100" w:type="dxa"/>
            </w:tcMar>
            <w:shd w:fill="F4F6F8"/>
            <w:tcBorders>
              <w:top w:val="none"/>
              <w:bottom w:val="single" w:sz="4" w:space="0" w:color="E0E0E0"/>
              <w:left w:val="none"/>
              <w:right w:val="none"/>
            </w:tcBorders>
          </w:tcPr>
          <w:p>
            <w:pPr>
              <w:spacing w:after="0"/>
            </w:pPr>
            <w:r>
              <w:rPr>
                <w:rFonts w:ascii="Calibri" w:hAnsi="Calibri"/>
                <w:b/>
                <w:color w:val="1B365D"/>
                <w:sz w:val="20"/>
              </w:rPr>
              <w:t>Secondary PM</w:t>
            </w:r>
          </w:p>
        </w:tc>
        <w:tc>
          <w:tcPr>
            <w:tcW w:type="dxa" w:w="6480"/>
            <w:tcMar>
              <w:top w:w="80" w:type="dxa"/>
              <w:bottom w:w="80" w:type="dxa"/>
              <w:left w:w="100" w:type="dxa"/>
              <w:right w:w="100" w:type="dxa"/>
            </w:tcMar>
            <w:shd w:fill="F4F6F8"/>
            <w:tcBorders>
              <w:top w:val="none"/>
              <w:bottom w:val="single" w:sz="4" w:space="0" w:color="E0E0E0"/>
              <w:left w:val="none"/>
              <w:right w:val="none"/>
            </w:tcBorders>
          </w:tcPr>
          <w:p>
            <w:pPr>
              <w:spacing w:after="0"/>
            </w:pPr>
            <w:r>
              <w:rPr>
                <w:rFonts w:ascii="Calibri" w:hAnsi="Calibri"/>
                <w:sz w:val="20"/>
              </w:rPr>
              <w:t>TBD</w:t>
            </w:r>
          </w:p>
        </w:tc>
      </w:tr>
      <w:tr>
        <w:tc>
          <w:tcPr>
            <w:tcW w:type="dxa" w:w="2160"/>
            <w:tcMar>
              <w:top w:w="80" w:type="dxa"/>
              <w:bottom w:w="80" w:type="dxa"/>
              <w:left w:w="100" w:type="dxa"/>
              <w:right w:w="100" w:type="dxa"/>
            </w:tcMar>
            <w:shd w:fill="FFFFFF"/>
            <w:tcBorders>
              <w:top w:val="none"/>
              <w:bottom w:val="single" w:sz="4" w:space="0" w:color="E0E0E0"/>
              <w:left w:val="none"/>
              <w:right w:val="none"/>
            </w:tcBorders>
          </w:tcPr>
          <w:p>
            <w:pPr>
              <w:spacing w:after="0"/>
            </w:pPr>
            <w:r>
              <w:rPr>
                <w:rFonts w:ascii="Calibri" w:hAnsi="Calibri"/>
                <w:b/>
                <w:color w:val="1B365D"/>
                <w:sz w:val="20"/>
              </w:rPr>
              <w:t>Status</w:t>
            </w:r>
          </w:p>
        </w:tc>
        <w:tc>
          <w:tcPr>
            <w:tcW w:type="dxa" w:w="6480"/>
            <w:tcMar>
              <w:top w:w="80" w:type="dxa"/>
              <w:bottom w:w="80" w:type="dxa"/>
              <w:left w:w="100" w:type="dxa"/>
              <w:right w:w="100" w:type="dxa"/>
            </w:tcMar>
            <w:shd w:fill="FFFFFF"/>
            <w:tcBorders>
              <w:top w:val="none"/>
              <w:bottom w:val="single" w:sz="4" w:space="0" w:color="E0E0E0"/>
              <w:left w:val="none"/>
              <w:right w:val="none"/>
            </w:tcBorders>
          </w:tcPr>
          <w:p>
            <w:pPr>
              <w:spacing w:after="0"/>
            </w:pPr>
            <w:r>
              <w:rPr>
                <w:rFonts w:ascii="Calibri" w:hAnsi="Calibri"/>
                <w:sz w:val="20"/>
              </w:rPr>
              <w:t>Discovery Phase</w:t>
            </w:r>
          </w:p>
        </w:tc>
      </w:tr>
      <w:tr>
        <w:tc>
          <w:tcPr>
            <w:tcW w:type="dxa" w:w="2160"/>
            <w:tcMar>
              <w:top w:w="80" w:type="dxa"/>
              <w:bottom w:w="80" w:type="dxa"/>
              <w:left w:w="100" w:type="dxa"/>
              <w:right w:w="100" w:type="dxa"/>
            </w:tcMar>
            <w:shd w:fill="F4F6F8"/>
            <w:tcBorders>
              <w:top w:val="none"/>
              <w:bottom w:val="single" w:sz="4" w:space="0" w:color="E0E0E0"/>
              <w:left w:val="none"/>
              <w:right w:val="none"/>
            </w:tcBorders>
          </w:tcPr>
          <w:p>
            <w:pPr>
              <w:spacing w:after="0"/>
            </w:pPr>
            <w:r>
              <w:rPr>
                <w:rFonts w:ascii="Calibri" w:hAnsi="Calibri"/>
                <w:b/>
                <w:color w:val="1B365D"/>
                <w:sz w:val="20"/>
              </w:rPr>
              <w:t>Last Updated</w:t>
            </w:r>
          </w:p>
        </w:tc>
        <w:tc>
          <w:tcPr>
            <w:tcW w:type="dxa" w:w="6480"/>
            <w:tcMar>
              <w:top w:w="80" w:type="dxa"/>
              <w:bottom w:w="80" w:type="dxa"/>
              <w:left w:w="100" w:type="dxa"/>
              <w:right w:w="100" w:type="dxa"/>
            </w:tcMar>
            <w:shd w:fill="F4F6F8"/>
            <w:tcBorders>
              <w:top w:val="none"/>
              <w:bottom w:val="single" w:sz="4" w:space="0" w:color="E0E0E0"/>
              <w:left w:val="none"/>
              <w:right w:val="none"/>
            </w:tcBorders>
          </w:tcPr>
          <w:p>
            <w:pPr>
              <w:spacing w:after="0"/>
            </w:pPr>
            <w:r>
              <w:rPr>
                <w:rFonts w:ascii="Calibri" w:hAnsi="Calibri"/>
                <w:sz w:val="20"/>
              </w:rPr>
              <w:t>May 21, 2026</w:t>
            </w:r>
          </w:p>
        </w:tc>
      </w:tr>
    </w:tbl>
    <w:p>
      <w:pPr>
        <w:spacing w:after="240"/>
      </w:pPr>
    </w:p>
    <w:p>
      <w:pPr>
        <w:keepNext/>
        <w:spacing w:before="240" w:after="120"/>
        <w:pBdr>
          <w:bottom w:val="single" w:sz="12" w:space="4" w:color="1B365D"/>
        </w:pBdr>
      </w:pPr>
      <w:r>
        <w:rPr>
          <w:rFonts w:ascii="Calibri" w:hAnsi="Calibri"/>
          <w:b/>
          <w:color w:val="1B365D"/>
          <w:sz w:val="36"/>
        </w:rPr>
        <w:t>1. Executive Summary</w:t>
      </w:r>
    </w:p>
    <w:p>
      <w:pPr>
        <w:spacing w:after="160" w:line="276" w:lineRule="auto"/>
      </w:pPr>
      <w:r>
        <w:t>This document is the Product Requirements Document (PRD) for Deuxième Souffle - a France-based platform that coordinates Adapted Physical Activity (APA) coaching sessions delivered by independent APA coaches in EHPAD facilities and similar establishments. The platform replaces an existing Bubble no-code prototype with a purpose-built, production-grade system connecting three user groups: APA coaches, EHPAD facility managers, and the Deuxième Souffle (DS) administrative team.</w:t>
      </w:r>
    </w:p>
    <w:p>
      <w:pPr>
        <w:spacing w:after="240"/>
      </w:pPr>
      <w:r>
        <w:t>The MVP covers session planning, intelligent coach assignment, geolocated check-in, structured post-session reporting, coach evaluation, contract management, and automated monthly invoicing via Pennylane. It is delivered as a mobile app for coaches, a responsive web client space for EHPAD managers, and a web back-office for the DS team.</w:t>
      </w:r>
    </w:p>
    <w:p>
      <w:pPr>
        <w:keepNext/>
        <w:spacing w:before="240" w:after="120"/>
      </w:pPr>
      <w:r>
        <w:rPr>
          <w:rFonts w:ascii="Calibri" w:hAnsi="Calibri"/>
          <w:b/>
          <w:color w:val="4A777A"/>
          <w:sz w:val="28"/>
        </w:rPr>
        <w:t>Product Vision</w:t>
      </w:r>
    </w:p>
    <w:p>
      <w:pPr>
        <w:spacing w:after="240"/>
      </w:pPr>
      <w:r>
        <w:t>Deuxième Souffle digitises the coordination of Adapted Physical Activity in elderly-care facilities, connecting establishments that need regular sessions with qualified coaches available in their area, and giving the DS team the operational tooling to assign, monitor, and bill those sessions reliably.</w:t>
      </w:r>
    </w:p>
    <w:p>
      <w:pPr>
        <w:keepNext/>
        <w:spacing w:before="240" w:after="120"/>
      </w:pPr>
      <w:r>
        <w:rPr>
          <w:rFonts w:ascii="Calibri" w:hAnsi="Calibri"/>
          <w:b/>
          <w:color w:val="4A777A"/>
          <w:sz w:val="28"/>
        </w:rPr>
        <w:t>Primary Objective</w:t>
      </w:r>
    </w:p>
    <w:p>
      <w:pPr>
        <w:spacing w:after="320"/>
      </w:pPr>
      <w:r>
        <w:t>Deliver a production-ready MVP covering coach scheduling, the smart matching algorithm, geolocated check-in, the structured post-session report, coach evaluation with configurable coefficients, contract management, and automated monthly billing via Pennylane - replacing the current manual workflow (spreadsheets, phone, email) before national expansion.</w:t>
      </w:r>
    </w:p>
    <w:p>
      <w:pPr>
        <w:keepNext/>
        <w:spacing w:before="240" w:after="120"/>
        <w:pBdr>
          <w:bottom w:val="single" w:sz="12" w:space="4" w:color="1B365D"/>
        </w:pBdr>
      </w:pPr>
      <w:r>
        <w:rPr>
          <w:rFonts w:ascii="Calibri" w:hAnsi="Calibri"/>
          <w:b/>
          <w:color w:val="1B365D"/>
          <w:sz w:val="36"/>
        </w:rPr>
        <w:t>2. Context &amp; Problem Statement</w:t>
      </w:r>
    </w:p>
    <w:p>
      <w:pPr>
        <w:keepNext/>
        <w:spacing w:before="240" w:after="120"/>
      </w:pPr>
      <w:r>
        <w:rPr>
          <w:rFonts w:ascii="Calibri" w:hAnsi="Calibri"/>
          <w:b/>
          <w:color w:val="4A777A"/>
          <w:sz w:val="28"/>
        </w:rPr>
        <w:t>2.1 Business Context</w:t>
      </w:r>
    </w:p>
    <w:p>
      <w:pPr>
        <w:spacing w:after="160"/>
      </w:pPr>
      <w:r>
        <w:t>Deuxième Souffle operates as an intermediary between APA coaches and EHPAD facilities, coordinating physical activity sessions for elderly residents. Coordination currently runs through a Bubble no-code application and manual processes (spreadsheets, phone calls, email). As the number of partner EHPADs and contracted coaches grows, these tools have reached their limits in reliability, performance, and feature depth. The decision was made to rebuild the platform on a modern, scalable stack - starting from zero technically, but building on the product vision and business learnings of the existing Bubble application.</w:t>
      </w:r>
    </w:p>
    <w:p>
      <w:pPr>
        <w:keepNext/>
        <w:spacing w:before="240" w:after="120"/>
      </w:pPr>
      <w:r>
        <w:rPr>
          <w:rFonts w:ascii="Calibri" w:hAnsi="Calibri"/>
          <w:b/>
          <w:color w:val="4A777A"/>
          <w:sz w:val="28"/>
        </w:rPr>
        <w:t>2.2 User Problem</w:t>
      </w:r>
    </w:p>
    <w:p>
      <w:pPr>
        <w:spacing w:after="80"/>
      </w:pPr>
      <w:r>
        <w:t>The operational toolsets currently experience major gaps across all primary audiences:</w:t>
      </w:r>
    </w:p>
    <w:p>
      <w:pPr>
        <w:pStyle w:val="ListBullet"/>
      </w:pPr>
      <w:r>
        <w:rPr>
          <w:b/>
        </w:rPr>
        <w:t xml:space="preserve">Coaches </w:t>
      </w:r>
      <w:r>
        <w:t>lack a reliable mobile tool to view their schedule, position themselves on available sessions, validate attendance, and submit post-session reports. They suffer from poor visibility on revenue and completed sessions, with assignments often communicated informally via phone or email.</w:t>
      </w:r>
    </w:p>
    <w:p>
      <w:pPr>
        <w:pStyle w:val="ListBullet"/>
      </w:pPr>
      <w:r>
        <w:rPr>
          <w:b/>
        </w:rPr>
        <w:t xml:space="preserve">EHPAD managers </w:t>
      </w:r>
      <w:r>
        <w:t>have no self-service portal to schedule sessions, evaluate coaches, or track invoices. They lack real-time visibility on coach assignments and receive invoices scattered across email chains with no consolidated history.</w:t>
      </w:r>
    </w:p>
    <w:p>
      <w:pPr>
        <w:pStyle w:val="ListBullet"/>
      </w:pPr>
      <w:r>
        <w:rPr>
          <w:b/>
        </w:rPr>
        <w:t xml:space="preserve">The DS team </w:t>
      </w:r>
      <w:r>
        <w:t>spends excessive time on manual coach assignment, absence handling, incident management, and invoice generation. The legacy Bubble platform cannot scale or support critical automation like geolocated check-in or matching algorithms.</w:t>
      </w:r>
    </w:p>
    <w:p>
      <w:pPr>
        <w:pStyle w:val="ListBullet"/>
      </w:pPr>
      <w:r>
        <w:rPr>
          <w:b/>
        </w:rPr>
        <w:t xml:space="preserve">All user groups </w:t>
      </w:r>
      <w:r>
        <w:t>are structurally non-technical professional populations; therefore, the platform must deliver an ultra-simple UX that requires zero structured training.</w:t>
      </w:r>
    </w:p>
    <w:p>
      <w:pPr>
        <w:keepNext/>
        <w:spacing w:before="240" w:after="120"/>
      </w:pPr>
      <w:r>
        <w:rPr>
          <w:rFonts w:ascii="Calibri" w:hAnsi="Calibri"/>
          <w:b/>
          <w:color w:val="4A777A"/>
          <w:sz w:val="28"/>
        </w:rPr>
        <w:t>2.3 Opportunity</w:t>
      </w:r>
    </w:p>
    <w:p>
      <w:pPr>
        <w:spacing w:after="320"/>
      </w:pPr>
      <w:r>
        <w:t>A purpose-built platform removes the operational ceiling on growth. The matching algorithm scales coach assignment without a proportional increase in administrative effort; geolocated check-in secures session validation and billing; and the Pennylane integration eliminates manual invoicing. Together they turn coordination from a manual bottleneck into a repeatable, auditable process ready for national expansion.</w:t>
      </w:r>
    </w:p>
    <w:p>
      <w:pPr>
        <w:keepNext/>
        <w:spacing w:before="240" w:after="120"/>
        <w:pBdr>
          <w:bottom w:val="single" w:sz="12" w:space="4" w:color="1B365D"/>
        </w:pBdr>
      </w:pPr>
      <w:r>
        <w:rPr>
          <w:rFonts w:ascii="Calibri" w:hAnsi="Calibri"/>
          <w:b/>
          <w:color w:val="1B365D"/>
          <w:sz w:val="36"/>
        </w:rPr>
        <w:t>3. Target Users &amp; Personas</w:t>
      </w:r>
    </w:p>
    <w:p>
      <w:pPr>
        <w:keepNext/>
        <w:spacing w:before="160" w:after="80"/>
      </w:pPr>
      <w:r>
        <w:rPr>
          <w:rFonts w:ascii="Calibri" w:hAnsi="Calibri"/>
          <w:b/>
          <w:color w:val="4A777A"/>
          <w:sz w:val="28"/>
        </w:rPr>
        <w:t>3.1 Primary Persona - APA Coach</w:t>
      </w:r>
    </w:p>
    <w:p>
      <w:pPr>
        <w:spacing w:after="80"/>
      </w:pPr>
      <w:r>
        <w:rPr>
          <w:i/>
          <w:color w:val="555555"/>
          <w:sz w:val="20"/>
        </w:rPr>
        <w:t>Role: APA Coach (independent field professional) | Platform: iOS &amp; Android native mobile app</w:t>
      </w:r>
    </w:p>
    <w:p>
      <w:pPr>
        <w:spacing w:after="40"/>
      </w:pPr>
      <w:r>
        <w:rPr>
          <w:b/>
        </w:rPr>
        <w:t>Key Goals:</w:t>
      </w:r>
    </w:p>
    <w:p>
      <w:pPr>
        <w:pStyle w:val="ListBullet"/>
        <w:spacing w:after="40"/>
      </w:pPr>
      <w:r>
        <w:t>See the weekly and monthly schedule at a glance.</w:t>
      </w:r>
    </w:p>
    <w:p>
      <w:pPr>
        <w:pStyle w:val="ListBullet"/>
        <w:spacing w:after="40"/>
      </w:pPr>
      <w:r>
        <w:t>Position themselves on available sessions matching declared availability and service area.</w:t>
      </w:r>
    </w:p>
    <w:p>
      <w:pPr>
        <w:pStyle w:val="ListBullet"/>
        <w:spacing w:after="40"/>
      </w:pPr>
      <w:r>
        <w:t>Check in on site via geolocation and submit the structured post-session report quickly.</w:t>
      </w:r>
    </w:p>
    <w:p>
      <w:pPr>
        <w:pStyle w:val="ListBullet"/>
        <w:spacing w:after="40"/>
      </w:pPr>
      <w:r>
        <w:t>Track projected and actual revenue transparently.</w:t>
      </w:r>
    </w:p>
    <w:p>
      <w:pPr>
        <w:spacing w:after="40" w:before="80"/>
      </w:pPr>
      <w:r>
        <w:rPr>
          <w:b/>
        </w:rPr>
        <w:t>Core Pain Points:</w:t>
      </w:r>
    </w:p>
    <w:p>
      <w:pPr>
        <w:pStyle w:val="ListBullet"/>
        <w:spacing w:after="40"/>
      </w:pPr>
      <w:r>
        <w:t>No reliable schedule view; assignments communicated informally by phone and email.</w:t>
      </w:r>
    </w:p>
    <w:p>
      <w:pPr>
        <w:pStyle w:val="ListBullet"/>
        <w:spacing w:after="40"/>
      </w:pPr>
      <w:r>
        <w:t>Attendance tracking and post-session operational reporting handled manually on paper.</w:t>
      </w:r>
    </w:p>
    <w:p>
      <w:pPr>
        <w:pStyle w:val="ListBullet"/>
        <w:spacing w:after="40"/>
      </w:pPr>
      <w:r>
        <w:t>Poor visibility on revenue pipeline and verified completed sessions.</w:t>
      </w:r>
    </w:p>
    <w:p>
      <w:pPr>
        <w:keepNext/>
        <w:spacing w:before="160" w:after="80"/>
      </w:pPr>
      <w:r>
        <w:rPr>
          <w:rFonts w:ascii="Calibri" w:hAnsi="Calibri"/>
          <w:b/>
          <w:color w:val="4A777A"/>
          <w:sz w:val="28"/>
        </w:rPr>
        <w:t>3.2 Secondary Persona - EHPAD Manager</w:t>
      </w:r>
    </w:p>
    <w:p>
      <w:pPr>
        <w:spacing w:after="80"/>
      </w:pPr>
      <w:r>
        <w:rPr>
          <w:i/>
          <w:color w:val="555555"/>
          <w:sz w:val="20"/>
        </w:rPr>
        <w:t>Role: EHPAD Manager (facility coordinator) | Platform: Responsive web client space (V1 web-only; mobile planned V2)</w:t>
      </w:r>
    </w:p>
    <w:p>
      <w:pPr>
        <w:spacing w:after="40"/>
      </w:pPr>
      <w:r>
        <w:rPr>
          <w:b/>
        </w:rPr>
        <w:t>Key Goals:</w:t>
      </w:r>
    </w:p>
    <w:p>
      <w:pPr>
        <w:pStyle w:val="ListBullet"/>
        <w:spacing w:after="40"/>
      </w:pPr>
      <w:r>
        <w:t>Schedule regular recurrent and one-off APA sessions smoothly via self-service.</w:t>
      </w:r>
    </w:p>
    <w:p>
      <w:pPr>
        <w:pStyle w:val="ListBullet"/>
        <w:spacing w:after="40"/>
      </w:pPr>
      <w:r>
        <w:t>Track upcoming and past sessions and consult detailed coach reports seamlessly.</w:t>
      </w:r>
    </w:p>
    <w:p>
      <w:pPr>
        <w:pStyle w:val="ListBullet"/>
        <w:spacing w:after="40"/>
      </w:pPr>
      <w:r>
        <w:t>Evaluate coaches and manage centralized facility contacts and contracts.</w:t>
      </w:r>
    </w:p>
    <w:p>
      <w:pPr>
        <w:pStyle w:val="ListBullet"/>
        <w:spacing w:after="40"/>
      </w:pPr>
      <w:r>
        <w:t>Access, view, and directly download all generated invoices.</w:t>
      </w:r>
    </w:p>
    <w:p>
      <w:pPr>
        <w:spacing w:after="40" w:before="80"/>
      </w:pPr>
      <w:r>
        <w:rPr>
          <w:b/>
        </w:rPr>
        <w:t>Core Pain Points:</w:t>
      </w:r>
    </w:p>
    <w:p>
      <w:pPr>
        <w:pStyle w:val="ListBullet"/>
        <w:spacing w:after="40"/>
      </w:pPr>
      <w:r>
        <w:t>No self-service scheduling tool exists in current workflow.</w:t>
      </w:r>
    </w:p>
    <w:p>
      <w:pPr>
        <w:pStyle w:val="ListBullet"/>
        <w:spacing w:after="40"/>
      </w:pPr>
      <w:r>
        <w:t>Zero real-time visibility on which coach is assigned to a session.</w:t>
      </w:r>
    </w:p>
    <w:p>
      <w:pPr>
        <w:pStyle w:val="ListBullet"/>
        <w:spacing w:after="40"/>
      </w:pPr>
      <w:r>
        <w:t>Coach quality and performance feedback handled strictly informally.</w:t>
      </w:r>
    </w:p>
    <w:p>
      <w:pPr>
        <w:pStyle w:val="ListBullet"/>
        <w:spacing w:after="40"/>
      </w:pPr>
      <w:r>
        <w:t>Invoices received fragmentedly by email with no consolidated tracking history.</w:t>
      </w:r>
    </w:p>
    <w:p>
      <w:pPr>
        <w:keepNext/>
        <w:spacing w:before="160" w:after="80"/>
      </w:pPr>
      <w:r>
        <w:rPr>
          <w:rFonts w:ascii="Calibri" w:hAnsi="Calibri"/>
          <w:b/>
          <w:color w:val="4A777A"/>
          <w:sz w:val="28"/>
        </w:rPr>
        <w:t>3.3 Tertiary Persona - DS Administrator</w:t>
      </w:r>
    </w:p>
    <w:p>
      <w:pPr>
        <w:spacing w:after="80"/>
      </w:pPr>
      <w:r>
        <w:rPr>
          <w:i/>
          <w:color w:val="555555"/>
          <w:sz w:val="20"/>
        </w:rPr>
        <w:t>Role: DS Administrator (operations team) | Platform: Web back-office management console</w:t>
      </w:r>
    </w:p>
    <w:p>
      <w:pPr>
        <w:spacing w:after="40"/>
      </w:pPr>
      <w:r>
        <w:rPr>
          <w:b/>
        </w:rPr>
        <w:t>Key Goals:</w:t>
      </w:r>
    </w:p>
    <w:p>
      <w:pPr>
        <w:pStyle w:val="ListBullet"/>
        <w:spacing w:after="40"/>
      </w:pPr>
      <w:r>
        <w:t>Assign coaches efficiently via the matching algorithm with a full auditable trial.</w:t>
      </w:r>
    </w:p>
    <w:p>
      <w:pPr>
        <w:pStyle w:val="ListBullet"/>
        <w:spacing w:after="40"/>
      </w:pPr>
      <w:r>
        <w:t>Manage establishments, commercial contracts, and structured coach profiles.</w:t>
      </w:r>
    </w:p>
    <w:p>
      <w:pPr>
        <w:pStyle w:val="ListBullet"/>
        <w:spacing w:after="40"/>
      </w:pPr>
      <w:r>
        <w:t>Handle live operational incidents, absences, and quick emergency replacements.</w:t>
      </w:r>
    </w:p>
    <w:p>
      <w:pPr>
        <w:pStyle w:val="ListBullet"/>
        <w:spacing w:after="40"/>
      </w:pPr>
      <w:r>
        <w:t>Monitor operational and business KPIs and safely trigger automated monthly invoicing.</w:t>
      </w:r>
    </w:p>
    <w:p>
      <w:pPr>
        <w:spacing w:after="40" w:before="80"/>
      </w:pPr>
      <w:r>
        <w:rPr>
          <w:b/>
        </w:rPr>
        <w:t>Core Pain Points:</w:t>
      </w:r>
    </w:p>
    <w:p>
      <w:pPr>
        <w:pStyle w:val="ListBullet"/>
        <w:spacing w:after="40"/>
      </w:pPr>
      <w:r>
        <w:t>Manual, highly time-consuming coach assignment processes.</w:t>
      </w:r>
    </w:p>
    <w:p>
      <w:pPr>
        <w:pStyle w:val="ListBullet"/>
        <w:spacing w:after="40"/>
      </w:pPr>
      <w:r>
        <w:t>Absence and unexpected coach no-show handling executed on an ad-hoc basis.</w:t>
      </w:r>
    </w:p>
    <w:p>
      <w:pPr>
        <w:pStyle w:val="ListBullet"/>
        <w:spacing w:after="40"/>
      </w:pPr>
      <w:r>
        <w:t>Manual, error-prone billing and invoice generation workflows.</w:t>
      </w:r>
    </w:p>
    <w:p>
      <w:pPr>
        <w:pStyle w:val="ListBullet"/>
        <w:spacing w:after="40"/>
      </w:pPr>
      <w:r>
        <w:t>No consolidated KPI view of real-time multi-region operations.</w:t>
      </w:r>
    </w:p>
    <w:p>
      <w:pPr>
        <w:keepNext/>
        <w:spacing w:before="240" w:after="120"/>
        <w:pBdr>
          <w:bottom w:val="single" w:sz="12" w:space="4" w:color="1B365D"/>
        </w:pBdr>
      </w:pPr>
      <w:r>
        <w:rPr>
          <w:rFonts w:ascii="Calibri" w:hAnsi="Calibri"/>
          <w:b/>
          <w:color w:val="1B365D"/>
          <w:sz w:val="36"/>
        </w:rPr>
        <w:t>4. Feature Scope</w:t>
      </w:r>
    </w:p>
    <w:p>
      <w:pPr>
        <w:spacing w:after="120"/>
      </w:pPr>
      <w:r>
        <w:t>The Deuxième Souffle MVP is organised into clear feature domains. Each domain groups multiple user stories; the full, prioritised backlog of 143 user stories across 16 epics is maintained in the project spreadsheet.</w:t>
      </w:r>
    </w:p>
    <w:p>
      <w:pPr>
        <w:pStyle w:val="ListBullet"/>
        <w:spacing w:after="60"/>
      </w:pPr>
      <w:r>
        <w:rPr>
          <w:b/>
        </w:rPr>
        <w:t xml:space="preserve">Authentication &amp; Accounts: </w:t>
      </w:r>
      <w:r>
        <w:t>Coach self-registration (email / Google) with admin validation, EHPAD invite-link activation, admin and role-based access management.</w:t>
      </w:r>
    </w:p>
    <w:p>
      <w:pPr>
        <w:pStyle w:val="ListBullet"/>
        <w:spacing w:after="60"/>
      </w:pPr>
      <w:r>
        <w:rPr>
          <w:b/>
        </w:rPr>
        <w:t xml:space="preserve">Coach Planning &amp; Check-in: </w:t>
      </w:r>
      <w:r>
        <w:t>Weekly and monthly schedule, available-session positioning, availability declaration, geolocated check-in, and unidirectional Google Calendar sync.</w:t>
      </w:r>
    </w:p>
    <w:p>
      <w:pPr>
        <w:pStyle w:val="ListBullet"/>
        <w:spacing w:after="60"/>
      </w:pPr>
      <w:r>
        <w:rPr>
          <w:b/>
        </w:rPr>
        <w:t xml:space="preserve">Smart Assignment: </w:t>
      </w:r>
      <w:r>
        <w:t>Composite-score matching algorithm, attribution calendar, manual override with a complete audit trail, emergency mode, and configurable scoring criteria.</w:t>
      </w:r>
    </w:p>
    <w:p>
      <w:pPr>
        <w:pStyle w:val="ListBullet"/>
        <w:spacing w:after="60"/>
      </w:pPr>
      <w:r>
        <w:rPr>
          <w:b/>
        </w:rPr>
        <w:t xml:space="preserve">Sessions &amp; Reports: </w:t>
      </w:r>
      <w:r>
        <w:t>Structured 6-step post-session report, inter-session transmission notes, incident management, and automated session-status references.</w:t>
      </w:r>
    </w:p>
    <w:p>
      <w:pPr>
        <w:pStyle w:val="ListBullet"/>
        <w:spacing w:after="60"/>
      </w:pPr>
      <w:r>
        <w:rPr>
          <w:b/>
        </w:rPr>
        <w:t xml:space="preserve">Contracts: </w:t>
      </w:r>
      <w:r>
        <w:t>Regular and one-off session scheduling, suggested time slots, automatic session generation from recurrence rules, and complete lifecycle tracking (create/edit/extend/cancel/approve).</w:t>
      </w:r>
    </w:p>
    <w:p>
      <w:pPr>
        <w:pStyle w:val="ListBullet"/>
        <w:spacing w:after="60"/>
      </w:pPr>
      <w:r>
        <w:rPr>
          <w:b/>
        </w:rPr>
        <w:t xml:space="preserve">Billing &amp; Pennylane: </w:t>
      </w:r>
      <w:r>
        <w:t>Automated monthly invoice generation, invoice dashboard, adjustments, native Pennylane synchronisation, and coach financial dashboard.</w:t>
      </w:r>
    </w:p>
    <w:p>
      <w:pPr>
        <w:pStyle w:val="ListBullet"/>
        <w:spacing w:after="60"/>
      </w:pPr>
      <w:r>
        <w:rPr>
          <w:b/>
        </w:rPr>
        <w:t xml:space="preserve">Establishments &amp; Groups: </w:t>
      </w:r>
      <w:r>
        <w:t>Establishment profile management, contact management, facility-group hierarchical modelling, and rate management.</w:t>
      </w:r>
    </w:p>
    <w:p>
      <w:pPr>
        <w:pStyle w:val="ListBullet"/>
        <w:spacing w:after="60"/>
      </w:pPr>
      <w:r>
        <w:rPr>
          <w:b/>
        </w:rPr>
        <w:t xml:space="preserve">Coach Management &amp; Evaluation: </w:t>
      </w:r>
      <w:r>
        <w:t>Coach profiles, confidence index tracking, configurable evaluation coefficients, and gamification mechanics (badges and levels).</w:t>
      </w:r>
    </w:p>
    <w:p>
      <w:pPr>
        <w:pStyle w:val="ListBullet"/>
        <w:spacing w:after="60"/>
      </w:pPr>
      <w:r>
        <w:rPr>
          <w:b/>
        </w:rPr>
        <w:t xml:space="preserve">Notifications &amp; Alerts: </w:t>
      </w:r>
      <w:r>
        <w:t>Session reminders, assignment and delay alerts, automatic no-show detection, and configurable notification templates.</w:t>
      </w:r>
    </w:p>
    <w:p>
      <w:pPr>
        <w:pStyle w:val="ListBullet"/>
        <w:spacing w:after="60"/>
      </w:pPr>
      <w:r>
        <w:rPr>
          <w:b/>
        </w:rPr>
        <w:t xml:space="preserve">Admin Dashboard &amp; KPIs: </w:t>
      </w:r>
      <w:r>
        <w:t>Operational-health KPIs, activity and revenue analytics, pricing analytics, and geographic-coverage/coach-concentration visual mapping.</w:t>
      </w:r>
    </w:p>
    <w:p>
      <w:pPr>
        <w:spacing w:before="160" w:after="320"/>
      </w:pPr>
      <w:r>
        <w:rPr>
          <w:b/>
        </w:rPr>
        <w:t xml:space="preserve">Prioritization Note (MoSCoW Method): </w:t>
      </w:r>
      <w:r>
        <w:t xml:space="preserve">The matching algorithm, geolocated check-in, the 6-step post-session report, and automated Pennylane billing are absolute </w:t>
      </w:r>
      <w:r>
        <w:rPr>
          <w:b/>
        </w:rPr>
        <w:t xml:space="preserve">Must-have </w:t>
      </w:r>
      <w:r>
        <w:t>for the MVP. Gamification, geographic-coverage analytics, and the native EHPAD mobile app are explicitly deferred to later product iterations.</w:t>
      </w:r>
    </w:p>
    <w:p>
      <w:pPr>
        <w:keepNext/>
        <w:spacing w:before="240" w:after="120"/>
        <w:pBdr>
          <w:bottom w:val="single" w:sz="12" w:space="4" w:color="1B365D"/>
        </w:pBdr>
      </w:pPr>
      <w:r>
        <w:rPr>
          <w:rFonts w:ascii="Calibri" w:hAnsi="Calibri"/>
          <w:b/>
          <w:color w:val="1B365D"/>
          <w:sz w:val="36"/>
        </w:rPr>
        <w:t>5. Technical Architecture &amp; Stacks</w:t>
      </w:r>
    </w:p>
    <w:p>
      <w:pPr>
        <w:spacing w:after="160"/>
      </w:pPr>
      <w:r>
        <w:rPr>
          <w:i/>
        </w:rPr>
        <w:t>Note: Specifications to be completed and validated dynamically by Tech Leads.</w:t>
      </w:r>
    </w:p>
    <w:p>
      <w:pPr>
        <w:keepNext/>
        <w:spacing w:before="240" w:after="120"/>
      </w:pPr>
      <w:r>
        <w:rPr>
          <w:rFonts w:ascii="Calibri" w:hAnsi="Calibri"/>
          <w:b/>
          <w:color w:val="4A777A"/>
          <w:sz w:val="28"/>
        </w:rPr>
        <w:t>5.1 Architecture Overview</w:t>
      </w:r>
    </w:p>
    <w:p>
      <w:pPr>
        <w:spacing w:after="160"/>
      </w:pPr>
      <w:r>
        <w:t>Deuxième Souffle is built as a multi-platform system powered by three specialized front-ends linking into a shared backend infrastructure:</w:t>
        <w:br/>
        <w:t>1. APA Coach: Native mobile app (iOS &amp; Android)</w:t>
        <w:br/>
        <w:t>2. EHPAD Manager: Responsive web client space</w:t>
        <w:br/>
        <w:t>3. DS Administrator: Comprehensive web back-office console</w:t>
      </w:r>
    </w:p>
    <w:p>
      <w:pPr>
        <w:spacing w:after="80"/>
      </w:pPr>
      <w:r>
        <w:rPr>
          <w:b/>
        </w:rPr>
        <w:t>Core Operational Data Flow:</w:t>
      </w:r>
    </w:p>
    <w:p>
      <w:pPr>
        <w:pStyle w:val="ListBullet"/>
        <w:spacing w:after="40"/>
      </w:pPr>
      <w:r>
        <w:rPr>
          <w:b/>
        </w:rPr>
        <w:t xml:space="preserve">Step 1: </w:t>
      </w:r>
      <w:r>
        <w:t>An EHPAD manager or the DS admin creates a commercial contract; sessions are generated automatically via integrated recurrence rules.</w:t>
      </w:r>
    </w:p>
    <w:p>
      <w:pPr>
        <w:pStyle w:val="ListBullet"/>
        <w:spacing w:after="40"/>
      </w:pPr>
      <w:r>
        <w:rPr>
          <w:b/>
        </w:rPr>
        <w:t xml:space="preserve">Step 2: </w:t>
      </w:r>
      <w:r>
        <w:t>The matching algorithm ranks eligible coaches for each session based on a composite score (self-positioning, equity, reliability, proximity).</w:t>
      </w:r>
    </w:p>
    <w:p>
      <w:pPr>
        <w:pStyle w:val="ListBullet"/>
        <w:spacing w:after="40"/>
      </w:pPr>
      <w:r>
        <w:rPr>
          <w:b/>
        </w:rPr>
        <w:t xml:space="preserve">Step 3: </w:t>
      </w:r>
      <w:r>
        <w:t>The DS admin validates the suggested coach (pre-assignment mode); the coach is immediately notified and the session syncs to Google Calendar.</w:t>
      </w:r>
    </w:p>
    <w:p>
      <w:pPr>
        <w:pStyle w:val="ListBullet"/>
        <w:spacing w:after="40"/>
      </w:pPr>
      <w:r>
        <w:rPr>
          <w:b/>
        </w:rPr>
        <w:t xml:space="preserve">Step 4: </w:t>
      </w:r>
      <w:r>
        <w:t>Coaches can alternatively browse and position themselves on unassigned available sessions by digitally raising their hand.</w:t>
      </w:r>
    </w:p>
    <w:p>
      <w:pPr>
        <w:pStyle w:val="ListBullet"/>
        <w:spacing w:after="40"/>
      </w:pPr>
      <w:r>
        <w:rPr>
          <w:b/>
        </w:rPr>
        <w:t xml:space="preserve">Step 5: </w:t>
      </w:r>
      <w:r>
        <w:t>On the session day, the coach checks in via geolocation within a strict configurable time window and geographical radius; session status moves to 'In Progress'.</w:t>
      </w:r>
    </w:p>
    <w:p>
      <w:pPr>
        <w:pStyle w:val="ListBullet"/>
        <w:spacing w:after="40"/>
      </w:pPr>
      <w:r>
        <w:rPr>
          <w:b/>
        </w:rPr>
        <w:t xml:space="preserve">Step 6: </w:t>
      </w:r>
      <w:r>
        <w:t>Immediately following session termination, the coach submits the structured 6-step report; status updates automatically to 'Completed'.</w:t>
      </w:r>
    </w:p>
    <w:p>
      <w:pPr>
        <w:pStyle w:val="ListBullet"/>
        <w:spacing w:after="40"/>
      </w:pPr>
      <w:r>
        <w:rPr>
          <w:b/>
        </w:rPr>
        <w:t xml:space="preserve">Step 7: </w:t>
      </w:r>
      <w:r>
        <w:t>The EHPAD facility manager evaluates the coach; ratings directly feed the dynamic coach confidence index.</w:t>
      </w:r>
    </w:p>
    <w:p>
      <w:pPr>
        <w:pStyle w:val="ListBullet"/>
        <w:spacing w:after="40"/>
      </w:pPr>
      <w:r>
        <w:rPr>
          <w:b/>
        </w:rPr>
        <w:t xml:space="preserve">Step 8: </w:t>
      </w:r>
      <w:r>
        <w:t>On the first of each month, the system generates one draft invoice per facility from completed sessions and pushes it to Pennylane.</w:t>
      </w:r>
    </w:p>
    <w:p>
      <w:pPr>
        <w:pStyle w:val="ListBullet"/>
        <w:spacing w:after="40"/>
      </w:pPr>
      <w:r>
        <w:rPr>
          <w:b/>
        </w:rPr>
        <w:t xml:space="preserve">Step 9: </w:t>
      </w:r>
      <w:r>
        <w:t>Throughout the lifecycle, the DS back-office monitors sessions, flags live incidents, and manages global system parameters.</w:t>
      </w:r>
    </w:p>
    <w:p>
      <w:pPr>
        <w:keepNext/>
        <w:spacing w:before="280" w:after="120"/>
      </w:pPr>
      <w:r>
        <w:rPr>
          <w:rFonts w:ascii="Calibri" w:hAnsi="Calibri"/>
          <w:b/>
          <w:color w:val="4A777A"/>
          <w:sz w:val="28"/>
        </w:rPr>
        <w:t>5.2 Detailed Tech Stack</w:t>
      </w:r>
    </w:p>
    <w:tbl>
      <w:tblPr>
        <w:tblW w:type="auto" w:w="0"/>
        <w:jc w:val="center"/>
        <w:tblLayout w:type="fixed"/>
        <w:tblLook w:firstColumn="1" w:firstRow="1" w:lastColumn="0" w:lastRow="0" w:noHBand="0" w:noVBand="1" w:val="04A0"/>
      </w:tblPr>
      <w:tblGrid>
        <w:gridCol w:w="3010"/>
        <w:gridCol w:w="3010"/>
        <w:gridCol w:w="3010"/>
      </w:tblGrid>
      <w:tr>
        <w:trPr>
          <w:tblHeader/>
        </w:trPr>
        <w:tc>
          <w:tcPr>
            <w:tcW w:type="dxa" w:w="2160"/>
            <w:tcMar>
              <w:top w:w="100" w:type="dxa"/>
              <w:bottom w:w="100" w:type="dxa"/>
              <w:left w:w="120" w:type="dxa"/>
              <w:right w:w="120" w:type="dxa"/>
            </w:tcMar>
            <w:shd w:fill="1B365D"/>
            <w:tcBorders>
              <w:top w:val="none"/>
              <w:bottom w:val="single" w:sz="6" w:space="0" w:color="1B365D"/>
              <w:left w:val="none"/>
              <w:right w:val="none"/>
            </w:tcBorders>
          </w:tcPr>
          <w:p>
            <w:pPr>
              <w:spacing w:after="0"/>
            </w:pPr>
            <w:r>
              <w:rPr>
                <w:b/>
                <w:color w:val="FFFFFF"/>
                <w:sz w:val="21"/>
              </w:rPr>
              <w:t>Layer</w:t>
            </w:r>
          </w:p>
        </w:tc>
        <w:tc>
          <w:tcPr>
            <w:tcW w:type="dxa" w:w="3168"/>
            <w:tcMar>
              <w:top w:w="100" w:type="dxa"/>
              <w:bottom w:w="100" w:type="dxa"/>
              <w:left w:w="120" w:type="dxa"/>
              <w:right w:w="120" w:type="dxa"/>
            </w:tcMar>
            <w:shd w:fill="1B365D"/>
            <w:tcBorders>
              <w:top w:val="none"/>
              <w:bottom w:val="single" w:sz="6" w:space="0" w:color="1B365D"/>
              <w:left w:val="none"/>
              <w:right w:val="none"/>
            </w:tcBorders>
          </w:tcPr>
          <w:p>
            <w:pPr>
              <w:spacing w:after="0"/>
            </w:pPr>
            <w:r>
              <w:rPr>
                <w:b/>
                <w:color w:val="FFFFFF"/>
                <w:sz w:val="21"/>
              </w:rPr>
              <w:t>Technology</w:t>
            </w:r>
          </w:p>
        </w:tc>
        <w:tc>
          <w:tcPr>
            <w:tcW w:type="dxa" w:w="4032"/>
            <w:tcMar>
              <w:top w:w="100" w:type="dxa"/>
              <w:bottom w:w="100" w:type="dxa"/>
              <w:left w:w="120" w:type="dxa"/>
              <w:right w:w="120" w:type="dxa"/>
            </w:tcMar>
            <w:shd w:fill="1B365D"/>
            <w:tcBorders>
              <w:top w:val="none"/>
              <w:bottom w:val="single" w:sz="6" w:space="0" w:color="1B365D"/>
              <w:left w:val="none"/>
              <w:right w:val="none"/>
            </w:tcBorders>
          </w:tcPr>
          <w:p>
            <w:pPr>
              <w:spacing w:after="0"/>
            </w:pPr>
            <w:r>
              <w:rPr>
                <w:b/>
                <w:color w:val="FFFFFF"/>
                <w:sz w:val="21"/>
              </w:rPr>
              <w:t>Rationale</w:t>
            </w:r>
          </w:p>
        </w:tc>
      </w:tr>
      <w:tr>
        <w:tc>
          <w:tcPr>
            <w:tcW w:type="dxa" w:w="2160"/>
            <w:tcMar>
              <w:top w:w="100" w:type="dxa"/>
              <w:bottom w:w="100" w:type="dxa"/>
              <w:left w:w="120" w:type="dxa"/>
              <w:right w:w="120" w:type="dxa"/>
            </w:tcMar>
            <w:shd w:fill="F9FAFB"/>
            <w:tcBorders>
              <w:top w:val="none"/>
              <w:bottom w:val="single" w:sz="4" w:space="0" w:color="E5E7EB"/>
              <w:left w:val="none"/>
              <w:right w:val="none"/>
            </w:tcBorders>
          </w:tcPr>
          <w:p>
            <w:pPr>
              <w:spacing w:after="0"/>
            </w:pPr>
            <w:r>
              <w:rPr>
                <w:b/>
                <w:sz w:val="19"/>
              </w:rPr>
              <w:t>Monorepo</w:t>
            </w:r>
          </w:p>
        </w:tc>
        <w:tc>
          <w:tcPr>
            <w:tcW w:type="dxa" w:w="3168"/>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Turborepo</w:t>
            </w:r>
          </w:p>
        </w:tc>
        <w:tc>
          <w:tcPr>
            <w:tcW w:type="dxa" w:w="4032"/>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Single repository sharing code across the coach app, EHPAD web space, and admin back-office via packages/shared.</w:t>
            </w:r>
          </w:p>
        </w:tc>
      </w:tr>
      <w:tr>
        <w:tc>
          <w:tcPr>
            <w:tcW w:type="dxa" w:w="2160"/>
            <w:tcMar>
              <w:top w:w="100" w:type="dxa"/>
              <w:bottom w:w="100" w:type="dxa"/>
              <w:left w:w="120" w:type="dxa"/>
              <w:right w:w="120" w:type="dxa"/>
            </w:tcMar>
            <w:shd w:fill="FFFFFF"/>
            <w:tcBorders>
              <w:top w:val="none"/>
              <w:bottom w:val="single" w:sz="4" w:space="0" w:color="E5E7EB"/>
              <w:left w:val="none"/>
              <w:right w:val="none"/>
            </w:tcBorders>
          </w:tcPr>
          <w:p>
            <w:pPr>
              <w:spacing w:after="0"/>
            </w:pPr>
            <w:r>
              <w:rPr>
                <w:b/>
                <w:sz w:val="19"/>
              </w:rPr>
              <w:t>Coach app</w:t>
            </w:r>
          </w:p>
        </w:tc>
        <w:tc>
          <w:tcPr>
            <w:tcW w:type="dxa" w:w="3168"/>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React Native (iOS + Android)</w:t>
            </w:r>
          </w:p>
        </w:tc>
        <w:tc>
          <w:tcPr>
            <w:tcW w:type="dxa" w:w="4032"/>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Cross-platform native development optimized for APA coaches' mobile use in the field.</w:t>
            </w:r>
          </w:p>
        </w:tc>
      </w:tr>
      <w:tr>
        <w:tc>
          <w:tcPr>
            <w:tcW w:type="dxa" w:w="2160"/>
            <w:tcMar>
              <w:top w:w="100" w:type="dxa"/>
              <w:bottom w:w="100" w:type="dxa"/>
              <w:left w:w="120" w:type="dxa"/>
              <w:right w:w="120" w:type="dxa"/>
            </w:tcMar>
            <w:shd w:fill="F9FAFB"/>
            <w:tcBorders>
              <w:top w:val="none"/>
              <w:bottom w:val="single" w:sz="4" w:space="0" w:color="E5E7EB"/>
              <w:left w:val="none"/>
              <w:right w:val="none"/>
            </w:tcBorders>
          </w:tcPr>
          <w:p>
            <w:pPr>
              <w:spacing w:after="0"/>
            </w:pPr>
            <w:r>
              <w:rPr>
                <w:b/>
                <w:sz w:val="19"/>
              </w:rPr>
              <w:t>Web Apps</w:t>
            </w:r>
          </w:p>
        </w:tc>
        <w:tc>
          <w:tcPr>
            <w:tcW w:type="dxa" w:w="3168"/>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React</w:t>
            </w:r>
          </w:p>
        </w:tc>
        <w:tc>
          <w:tcPr>
            <w:tcW w:type="dxa" w:w="4032"/>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Responsive EHPAD client interface and high-density operational web back-office dashboards.</w:t>
            </w:r>
          </w:p>
        </w:tc>
      </w:tr>
      <w:tr>
        <w:tc>
          <w:tcPr>
            <w:tcW w:type="dxa" w:w="2160"/>
            <w:tcMar>
              <w:top w:w="100" w:type="dxa"/>
              <w:bottom w:w="100" w:type="dxa"/>
              <w:left w:w="120" w:type="dxa"/>
              <w:right w:w="120" w:type="dxa"/>
            </w:tcMar>
            <w:shd w:fill="FFFFFF"/>
            <w:tcBorders>
              <w:top w:val="none"/>
              <w:bottom w:val="single" w:sz="4" w:space="0" w:color="E5E7EB"/>
              <w:left w:val="none"/>
              <w:right w:val="none"/>
            </w:tcBorders>
          </w:tcPr>
          <w:p>
            <w:pPr>
              <w:spacing w:after="0"/>
            </w:pPr>
            <w:r>
              <w:rPr>
                <w:b/>
                <w:sz w:val="19"/>
              </w:rPr>
              <w:t>Backend / BaaS</w:t>
            </w:r>
          </w:p>
        </w:tc>
        <w:tc>
          <w:tcPr>
            <w:tcW w:type="dxa" w:w="3168"/>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Supabase (self-hosted)</w:t>
            </w:r>
          </w:p>
        </w:tc>
        <w:tc>
          <w:tcPr>
            <w:tcW w:type="dxa" w:w="4032"/>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Postgres database, authentication, storage, and realtime engine self-hosted per Digital Unicorn production standards.</w:t>
            </w:r>
          </w:p>
        </w:tc>
      </w:tr>
      <w:tr>
        <w:tc>
          <w:tcPr>
            <w:tcW w:type="dxa" w:w="2160"/>
            <w:tcMar>
              <w:top w:w="100" w:type="dxa"/>
              <w:bottom w:w="100" w:type="dxa"/>
              <w:left w:w="120" w:type="dxa"/>
              <w:right w:w="120" w:type="dxa"/>
            </w:tcMar>
            <w:shd w:fill="F9FAFB"/>
            <w:tcBorders>
              <w:top w:val="none"/>
              <w:bottom w:val="single" w:sz="4" w:space="0" w:color="E5E7EB"/>
              <w:left w:val="none"/>
              <w:right w:val="none"/>
            </w:tcBorders>
          </w:tcPr>
          <w:p>
            <w:pPr>
              <w:spacing w:after="0"/>
            </w:pPr>
            <w:r>
              <w:rPr>
                <w:b/>
                <w:sz w:val="19"/>
              </w:rPr>
              <w:t>Runtime</w:t>
            </w:r>
          </w:p>
        </w:tc>
        <w:tc>
          <w:tcPr>
            <w:tcW w:type="dxa" w:w="3168"/>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Bun</w:t>
            </w:r>
          </w:p>
        </w:tc>
        <w:tc>
          <w:tcPr>
            <w:tcW w:type="dxa" w:w="4032"/>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High-performance server runtime and unified tooling orchestration.</w:t>
            </w:r>
          </w:p>
        </w:tc>
      </w:tr>
      <w:tr>
        <w:tc>
          <w:tcPr>
            <w:tcW w:type="dxa" w:w="2160"/>
            <w:tcMar>
              <w:top w:w="100" w:type="dxa"/>
              <w:bottom w:w="100" w:type="dxa"/>
              <w:left w:w="120" w:type="dxa"/>
              <w:right w:w="120" w:type="dxa"/>
            </w:tcMar>
            <w:shd w:fill="FFFFFF"/>
            <w:tcBorders>
              <w:top w:val="none"/>
              <w:bottom w:val="single" w:sz="4" w:space="0" w:color="E5E7EB"/>
              <w:left w:val="none"/>
              <w:right w:val="none"/>
            </w:tcBorders>
          </w:tcPr>
          <w:p>
            <w:pPr>
              <w:spacing w:after="0"/>
            </w:pPr>
            <w:r>
              <w:rPr>
                <w:b/>
                <w:sz w:val="19"/>
              </w:rPr>
              <w:t>Database</w:t>
            </w:r>
          </w:p>
        </w:tc>
        <w:tc>
          <w:tcPr>
            <w:tcW w:type="dxa" w:w="3168"/>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PostgreSQL (via Supabase)</w:t>
            </w:r>
          </w:p>
        </w:tc>
        <w:tc>
          <w:tcPr>
            <w:tcW w:type="dxa" w:w="4032"/>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Structured relations for users, coaches, establishments, contracts, sessions, reports, invoices, and comprehensive audit logs.</w:t>
            </w:r>
          </w:p>
        </w:tc>
      </w:tr>
      <w:tr>
        <w:tc>
          <w:tcPr>
            <w:tcW w:type="dxa" w:w="2160"/>
            <w:tcMar>
              <w:top w:w="100" w:type="dxa"/>
              <w:bottom w:w="100" w:type="dxa"/>
              <w:left w:w="120" w:type="dxa"/>
              <w:right w:w="120" w:type="dxa"/>
            </w:tcMar>
            <w:shd w:fill="F9FAFB"/>
            <w:tcBorders>
              <w:top w:val="none"/>
              <w:bottom w:val="single" w:sz="4" w:space="0" w:color="E5E7EB"/>
              <w:left w:val="none"/>
              <w:right w:val="none"/>
            </w:tcBorders>
          </w:tcPr>
          <w:p>
            <w:pPr>
              <w:spacing w:after="0"/>
            </w:pPr>
            <w:r>
              <w:rPr>
                <w:b/>
                <w:sz w:val="19"/>
              </w:rPr>
              <w:t>Auth</w:t>
            </w:r>
          </w:p>
        </w:tc>
        <w:tc>
          <w:tcPr>
            <w:tcW w:type="dxa" w:w="3168"/>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Supabase Auth + Google OAuth</w:t>
            </w:r>
          </w:p>
        </w:tc>
        <w:tc>
          <w:tcPr>
            <w:tcW w:type="dxa" w:w="4032"/>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Secure email/password and Google social login for coaches; strict role-based access control (Coach / EHPAD / Admin).</w:t>
            </w:r>
          </w:p>
        </w:tc>
      </w:tr>
      <w:tr>
        <w:tc>
          <w:tcPr>
            <w:tcW w:type="dxa" w:w="2160"/>
            <w:tcMar>
              <w:top w:w="100" w:type="dxa"/>
              <w:bottom w:w="100" w:type="dxa"/>
              <w:left w:w="120" w:type="dxa"/>
              <w:right w:w="120" w:type="dxa"/>
            </w:tcMar>
            <w:shd w:fill="FFFFFF"/>
            <w:tcBorders>
              <w:top w:val="none"/>
              <w:bottom w:val="single" w:sz="4" w:space="0" w:color="E5E7EB"/>
              <w:left w:val="none"/>
              <w:right w:val="none"/>
            </w:tcBorders>
          </w:tcPr>
          <w:p>
            <w:pPr>
              <w:spacing w:after="0"/>
            </w:pPr>
            <w:r>
              <w:rPr>
                <w:b/>
                <w:sz w:val="19"/>
              </w:rPr>
              <w:t>Storage</w:t>
            </w:r>
          </w:p>
        </w:tc>
        <w:tc>
          <w:tcPr>
            <w:tcW w:type="dxa" w:w="3168"/>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Supabase Storage</w:t>
            </w:r>
          </w:p>
        </w:tc>
        <w:tc>
          <w:tcPr>
            <w:tcW w:type="dxa" w:w="4032"/>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Encrypted storage for coach KYC onboarding documents, avatars, and session report image/document attachments.</w:t>
            </w:r>
          </w:p>
        </w:tc>
      </w:tr>
      <w:tr>
        <w:tc>
          <w:tcPr>
            <w:tcW w:type="dxa" w:w="2160"/>
            <w:tcMar>
              <w:top w:w="100" w:type="dxa"/>
              <w:bottom w:w="100" w:type="dxa"/>
              <w:left w:w="120" w:type="dxa"/>
              <w:right w:w="120" w:type="dxa"/>
            </w:tcMar>
            <w:shd w:fill="F9FAFB"/>
            <w:tcBorders>
              <w:top w:val="none"/>
              <w:bottom w:val="single" w:sz="4" w:space="0" w:color="E5E7EB"/>
              <w:left w:val="none"/>
              <w:right w:val="none"/>
            </w:tcBorders>
          </w:tcPr>
          <w:p>
            <w:pPr>
              <w:spacing w:after="0"/>
            </w:pPr>
            <w:r>
              <w:rPr>
                <w:b/>
                <w:sz w:val="19"/>
              </w:rPr>
              <w:t>Maps / Geolocation</w:t>
            </w:r>
          </w:p>
        </w:tc>
        <w:tc>
          <w:tcPr>
            <w:tcW w:type="dxa" w:w="3168"/>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DU Maps</w:t>
            </w:r>
          </w:p>
        </w:tc>
        <w:tc>
          <w:tcPr>
            <w:tcW w:type="dxa" w:w="4032"/>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Address autocomplete and distance / travel-time computation for the matching engine and geolocated check-in validation.</w:t>
            </w:r>
          </w:p>
        </w:tc>
      </w:tr>
      <w:tr>
        <w:tc>
          <w:tcPr>
            <w:tcW w:type="dxa" w:w="2160"/>
            <w:tcMar>
              <w:top w:w="100" w:type="dxa"/>
              <w:bottom w:w="100" w:type="dxa"/>
              <w:left w:w="120" w:type="dxa"/>
              <w:right w:w="120" w:type="dxa"/>
            </w:tcMar>
            <w:shd w:fill="FFFFFF"/>
            <w:tcBorders>
              <w:top w:val="none"/>
              <w:bottom w:val="single" w:sz="4" w:space="0" w:color="E5E7EB"/>
              <w:left w:val="none"/>
              <w:right w:val="none"/>
            </w:tcBorders>
          </w:tcPr>
          <w:p>
            <w:pPr>
              <w:spacing w:after="0"/>
            </w:pPr>
            <w:r>
              <w:rPr>
                <w:b/>
                <w:sz w:val="19"/>
              </w:rPr>
              <w:t>CI/CD &amp; Testing</w:t>
            </w:r>
          </w:p>
        </w:tc>
        <w:tc>
          <w:tcPr>
            <w:tcW w:type="dxa" w:w="3168"/>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GitLab CI</w:t>
            </w:r>
          </w:p>
        </w:tc>
        <w:tc>
          <w:tcPr>
            <w:tcW w:type="dxa" w:w="4032"/>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Automated build, test, and deploy pipelines; strict unit, integration, and E2E testing per-sprint QA.</w:t>
            </w:r>
          </w:p>
        </w:tc>
      </w:tr>
    </w:tbl>
    <w:p>
      <w:pPr>
        <w:keepNext/>
        <w:spacing w:before="280" w:after="120"/>
      </w:pPr>
      <w:r>
        <w:rPr>
          <w:rFonts w:ascii="Calibri" w:hAnsi="Calibri"/>
          <w:b/>
          <w:color w:val="4A777A"/>
          <w:sz w:val="28"/>
        </w:rPr>
        <w:t>5.3 APIs &amp; Third-Party Integrations</w:t>
      </w:r>
    </w:p>
    <w:tbl>
      <w:tblPr>
        <w:tblW w:type="auto" w:w="0"/>
        <w:jc w:val="center"/>
        <w:tblLayout w:type="fixed"/>
        <w:tblLook w:firstColumn="1" w:firstRow="1" w:lastColumn="0" w:lastRow="0" w:noHBand="0" w:noVBand="1" w:val="04A0"/>
      </w:tblPr>
      <w:tblGrid>
        <w:gridCol w:w="3010"/>
        <w:gridCol w:w="3010"/>
        <w:gridCol w:w="3010"/>
      </w:tblGrid>
      <w:tr>
        <w:trPr>
          <w:tblHeader/>
        </w:trPr>
        <w:tc>
          <w:tcPr>
            <w:tcW w:type="dxa" w:w="2160"/>
            <w:tcMar>
              <w:top w:w="100" w:type="dxa"/>
              <w:bottom w:w="100" w:type="dxa"/>
              <w:left w:w="120" w:type="dxa"/>
              <w:right w:w="120" w:type="dxa"/>
            </w:tcMar>
            <w:shd w:fill="4A777A"/>
            <w:tcBorders>
              <w:top w:val="none"/>
              <w:bottom w:val="single" w:sz="6" w:space="0" w:color="4A777A"/>
              <w:left w:val="none"/>
              <w:right w:val="none"/>
            </w:tcBorders>
          </w:tcPr>
          <w:p>
            <w:pPr>
              <w:spacing w:after="0"/>
            </w:pPr>
            <w:r>
              <w:rPr>
                <w:b/>
                <w:color w:val="FFFFFF"/>
                <w:sz w:val="21"/>
              </w:rPr>
              <w:t>Service</w:t>
            </w:r>
          </w:p>
        </w:tc>
        <w:tc>
          <w:tcPr>
            <w:tcW w:type="dxa" w:w="4608"/>
            <w:tcMar>
              <w:top w:w="100" w:type="dxa"/>
              <w:bottom w:w="100" w:type="dxa"/>
              <w:left w:w="120" w:type="dxa"/>
              <w:right w:w="120" w:type="dxa"/>
            </w:tcMar>
            <w:shd w:fill="4A777A"/>
            <w:tcBorders>
              <w:top w:val="none"/>
              <w:bottom w:val="single" w:sz="6" w:space="0" w:color="4A777A"/>
              <w:left w:val="none"/>
              <w:right w:val="none"/>
            </w:tcBorders>
          </w:tcPr>
          <w:p>
            <w:pPr>
              <w:spacing w:after="0"/>
            </w:pPr>
            <w:r>
              <w:rPr>
                <w:b/>
                <w:color w:val="FFFFFF"/>
                <w:sz w:val="21"/>
              </w:rPr>
              <w:t>Description</w:t>
            </w:r>
          </w:p>
        </w:tc>
        <w:tc>
          <w:tcPr>
            <w:tcW w:type="dxa" w:w="2592"/>
            <w:tcMar>
              <w:top w:w="100" w:type="dxa"/>
              <w:bottom w:w="100" w:type="dxa"/>
              <w:left w:w="120" w:type="dxa"/>
              <w:right w:w="120" w:type="dxa"/>
            </w:tcMar>
            <w:shd w:fill="4A777A"/>
            <w:tcBorders>
              <w:top w:val="none"/>
              <w:bottom w:val="single" w:sz="6" w:space="0" w:color="4A777A"/>
              <w:left w:val="none"/>
              <w:right w:val="none"/>
            </w:tcBorders>
          </w:tcPr>
          <w:p>
            <w:pPr>
              <w:spacing w:after="0"/>
            </w:pPr>
            <w:r>
              <w:rPr>
                <w:b/>
                <w:color w:val="FFFFFF"/>
                <w:sz w:val="21"/>
              </w:rPr>
              <w:t>Criticality</w:t>
            </w:r>
          </w:p>
        </w:tc>
      </w:tr>
      <w:tr>
        <w:tc>
          <w:tcPr>
            <w:tcW w:type="dxa" w:w="2160"/>
            <w:tcMar>
              <w:top w:w="100" w:type="dxa"/>
              <w:bottom w:w="100" w:type="dxa"/>
              <w:left w:w="120" w:type="dxa"/>
              <w:right w:w="120" w:type="dxa"/>
            </w:tcMar>
            <w:shd w:fill="F9FAFB"/>
            <w:tcBorders>
              <w:top w:val="none"/>
              <w:bottom w:val="single" w:sz="4" w:space="0" w:color="E5E7EB"/>
              <w:left w:val="none"/>
              <w:right w:val="none"/>
            </w:tcBorders>
          </w:tcPr>
          <w:p>
            <w:pPr>
              <w:spacing w:after="0"/>
            </w:pPr>
            <w:r>
              <w:rPr>
                <w:b/>
                <w:sz w:val="19"/>
              </w:rPr>
              <w:t>Pennylane</w:t>
            </w:r>
          </w:p>
        </w:tc>
        <w:tc>
          <w:tcPr>
            <w:tcW w:type="dxa" w:w="4608"/>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Automated monthly invoice generation and payment-status synchronisation.</w:t>
            </w:r>
          </w:p>
        </w:tc>
        <w:tc>
          <w:tcPr>
            <w:tcW w:type="dxa" w:w="2592"/>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Critical - Core Billing Lifecycle</w:t>
            </w:r>
          </w:p>
        </w:tc>
      </w:tr>
      <w:tr>
        <w:tc>
          <w:tcPr>
            <w:tcW w:type="dxa" w:w="2160"/>
            <w:tcMar>
              <w:top w:w="100" w:type="dxa"/>
              <w:bottom w:w="100" w:type="dxa"/>
              <w:left w:w="120" w:type="dxa"/>
              <w:right w:w="120" w:type="dxa"/>
            </w:tcMar>
            <w:shd w:fill="FFFFFF"/>
            <w:tcBorders>
              <w:top w:val="none"/>
              <w:bottom w:val="single" w:sz="4" w:space="0" w:color="E5E7EB"/>
              <w:left w:val="none"/>
              <w:right w:val="none"/>
            </w:tcBorders>
          </w:tcPr>
          <w:p>
            <w:pPr>
              <w:spacing w:after="0"/>
            </w:pPr>
            <w:r>
              <w:rPr>
                <w:b/>
                <w:sz w:val="19"/>
              </w:rPr>
              <w:t>Google Calendar</w:t>
            </w:r>
          </w:p>
        </w:tc>
        <w:tc>
          <w:tcPr>
            <w:tcW w:type="dxa" w:w="4608"/>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Unidirectional sync of assigned and approved sessions directly to independent coach personal calendars.</w:t>
            </w:r>
          </w:p>
        </w:tc>
        <w:tc>
          <w:tcPr>
            <w:tcW w:type="dxa" w:w="2592"/>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High - Coach UX &amp; Operational Alignment</w:t>
            </w:r>
          </w:p>
        </w:tc>
      </w:tr>
      <w:tr>
        <w:tc>
          <w:tcPr>
            <w:tcW w:type="dxa" w:w="2160"/>
            <w:tcMar>
              <w:top w:w="100" w:type="dxa"/>
              <w:bottom w:w="100" w:type="dxa"/>
              <w:left w:w="120" w:type="dxa"/>
              <w:right w:w="120" w:type="dxa"/>
            </w:tcMar>
            <w:shd w:fill="F9FAFB"/>
            <w:tcBorders>
              <w:top w:val="none"/>
              <w:bottom w:val="single" w:sz="4" w:space="0" w:color="E5E7EB"/>
              <w:left w:val="none"/>
              <w:right w:val="none"/>
            </w:tcBorders>
          </w:tcPr>
          <w:p>
            <w:pPr>
              <w:spacing w:after="0"/>
            </w:pPr>
            <w:r>
              <w:rPr>
                <w:b/>
                <w:sz w:val="19"/>
              </w:rPr>
              <w:t>DU Maps</w:t>
            </w:r>
          </w:p>
        </w:tc>
        <w:tc>
          <w:tcPr>
            <w:tcW w:type="dxa" w:w="4608"/>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Address autocomplete and exact distance / travel-time computations for matching engine suggestions and check-in bounds.</w:t>
            </w:r>
          </w:p>
        </w:tc>
        <w:tc>
          <w:tcPr>
            <w:tcW w:type="dxa" w:w="2592"/>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Critical - Core Matching Engine &amp; Validation</w:t>
            </w:r>
          </w:p>
        </w:tc>
      </w:tr>
      <w:tr>
        <w:tc>
          <w:tcPr>
            <w:tcW w:type="dxa" w:w="2160"/>
            <w:tcMar>
              <w:top w:w="100" w:type="dxa"/>
              <w:bottom w:w="100" w:type="dxa"/>
              <w:left w:w="120" w:type="dxa"/>
              <w:right w:w="120" w:type="dxa"/>
            </w:tcMar>
            <w:shd w:fill="FFFFFF"/>
            <w:tcBorders>
              <w:top w:val="none"/>
              <w:bottom w:val="single" w:sz="4" w:space="0" w:color="E5E7EB"/>
              <w:left w:val="none"/>
              <w:right w:val="none"/>
            </w:tcBorders>
          </w:tcPr>
          <w:p>
            <w:pPr>
              <w:spacing w:after="0"/>
            </w:pPr>
            <w:r>
              <w:rPr>
                <w:b/>
                <w:sz w:val="19"/>
              </w:rPr>
              <w:t>Brevo</w:t>
            </w:r>
          </w:p>
        </w:tc>
        <w:tc>
          <w:tcPr>
            <w:tcW w:type="dxa" w:w="4608"/>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Transactional email communications (account confirmations, EHPAD platform invitations, automated system alerts).</w:t>
            </w:r>
          </w:p>
        </w:tc>
        <w:tc>
          <w:tcPr>
            <w:tcW w:type="dxa" w:w="2592"/>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High - Multi-party Communications</w:t>
            </w:r>
          </w:p>
        </w:tc>
      </w:tr>
      <w:tr>
        <w:tc>
          <w:tcPr>
            <w:tcW w:type="dxa" w:w="2160"/>
            <w:tcMar>
              <w:top w:w="100" w:type="dxa"/>
              <w:bottom w:w="100" w:type="dxa"/>
              <w:left w:w="120" w:type="dxa"/>
              <w:right w:w="120" w:type="dxa"/>
            </w:tcMar>
            <w:shd w:fill="F9FAFB"/>
            <w:tcBorders>
              <w:top w:val="none"/>
              <w:bottom w:val="single" w:sz="4" w:space="0" w:color="E5E7EB"/>
              <w:left w:val="none"/>
              <w:right w:val="none"/>
            </w:tcBorders>
          </w:tcPr>
          <w:p>
            <w:pPr>
              <w:spacing w:after="0"/>
            </w:pPr>
            <w:r>
              <w:rPr>
                <w:b/>
                <w:sz w:val="19"/>
              </w:rPr>
              <w:t>Telnyx</w:t>
            </w:r>
          </w:p>
        </w:tc>
        <w:tc>
          <w:tcPr>
            <w:tcW w:type="dxa" w:w="4608"/>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SMS notifications for time-sensitive updates, immediate alerts, and reminders.</w:t>
            </w:r>
          </w:p>
        </w:tc>
        <w:tc>
          <w:tcPr>
            <w:tcW w:type="dxa" w:w="2592"/>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Medium - Direct Notifications</w:t>
            </w:r>
          </w:p>
        </w:tc>
      </w:tr>
      <w:tr>
        <w:tc>
          <w:tcPr>
            <w:tcW w:type="dxa" w:w="2160"/>
            <w:tcMar>
              <w:top w:w="100" w:type="dxa"/>
              <w:bottom w:w="100" w:type="dxa"/>
              <w:left w:w="120" w:type="dxa"/>
              <w:right w:w="120" w:type="dxa"/>
            </w:tcMar>
            <w:shd w:fill="FFFFFF"/>
            <w:tcBorders>
              <w:top w:val="none"/>
              <w:bottom w:val="single" w:sz="4" w:space="0" w:color="E5E7EB"/>
              <w:left w:val="none"/>
              <w:right w:val="none"/>
            </w:tcBorders>
          </w:tcPr>
          <w:p>
            <w:pPr>
              <w:spacing w:after="0"/>
            </w:pPr>
            <w:r>
              <w:rPr>
                <w:b/>
                <w:sz w:val="19"/>
              </w:rPr>
              <w:t>Push (FCM/APNS)</w:t>
            </w:r>
          </w:p>
        </w:tc>
        <w:tc>
          <w:tcPr>
            <w:tcW w:type="dxa" w:w="4608"/>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Mobile push notifications for immediate session events (assignment notices, delay flags, no-show detection, changes).</w:t>
            </w:r>
          </w:p>
        </w:tc>
        <w:tc>
          <w:tcPr>
            <w:tcW w:type="dxa" w:w="2592"/>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High - Coach Field UX</w:t>
            </w:r>
          </w:p>
        </w:tc>
      </w:tr>
    </w:tbl>
    <w:p>
      <w:pPr>
        <w:keepNext/>
        <w:spacing w:before="280" w:after="120"/>
      </w:pPr>
      <w:r>
        <w:rPr>
          <w:rFonts w:ascii="Calibri" w:hAnsi="Calibri"/>
          <w:b/>
          <w:color w:val="4A777A"/>
          <w:sz w:val="28"/>
        </w:rPr>
        <w:t>5.4 Non-Functional Requirements</w:t>
      </w:r>
    </w:p>
    <w:tbl>
      <w:tblPr>
        <w:tblW w:type="auto" w:w="0"/>
        <w:jc w:val="center"/>
        <w:tblLayout w:type="fixed"/>
        <w:tblLook w:firstColumn="1" w:firstRow="1" w:lastColumn="0" w:lastRow="0" w:noHBand="0" w:noVBand="1" w:val="04A0"/>
      </w:tblPr>
      <w:tblGrid>
        <w:gridCol w:w="3010"/>
        <w:gridCol w:w="3010"/>
        <w:gridCol w:w="3010"/>
      </w:tblGrid>
      <w:tr>
        <w:trPr>
          <w:tblHeader/>
        </w:trPr>
        <w:tc>
          <w:tcPr>
            <w:tcW w:type="dxa" w:w="1728"/>
            <w:tcMar>
              <w:top w:w="100" w:type="dxa"/>
              <w:bottom w:w="100" w:type="dxa"/>
              <w:left w:w="120" w:type="dxa"/>
              <w:right w:w="120" w:type="dxa"/>
            </w:tcMar>
            <w:shd w:fill="1B365D"/>
            <w:tcBorders>
              <w:top w:val="none"/>
              <w:bottom w:val="single" w:sz="6" w:space="0" w:color="1B365D"/>
              <w:left w:val="none"/>
              <w:right w:val="none"/>
            </w:tcBorders>
          </w:tcPr>
          <w:p>
            <w:pPr>
              <w:spacing w:after="0"/>
            </w:pPr>
            <w:r>
              <w:rPr>
                <w:b/>
                <w:color w:val="FFFFFF"/>
                <w:sz w:val="21"/>
              </w:rPr>
              <w:t>Dimension</w:t>
            </w:r>
          </w:p>
        </w:tc>
        <w:tc>
          <w:tcPr>
            <w:tcW w:type="dxa" w:w="3744"/>
            <w:tcMar>
              <w:top w:w="100" w:type="dxa"/>
              <w:bottom w:w="100" w:type="dxa"/>
              <w:left w:w="120" w:type="dxa"/>
              <w:right w:w="120" w:type="dxa"/>
            </w:tcMar>
            <w:shd w:fill="1B365D"/>
            <w:tcBorders>
              <w:top w:val="none"/>
              <w:bottom w:val="single" w:sz="6" w:space="0" w:color="1B365D"/>
              <w:left w:val="none"/>
              <w:right w:val="none"/>
            </w:tcBorders>
          </w:tcPr>
          <w:p>
            <w:pPr>
              <w:spacing w:after="0"/>
            </w:pPr>
            <w:r>
              <w:rPr>
                <w:b/>
                <w:color w:val="FFFFFF"/>
                <w:sz w:val="21"/>
              </w:rPr>
              <w:t>MVP Target</w:t>
            </w:r>
          </w:p>
        </w:tc>
        <w:tc>
          <w:tcPr>
            <w:tcW w:type="dxa" w:w="3888"/>
            <w:tcMar>
              <w:top w:w="100" w:type="dxa"/>
              <w:bottom w:w="100" w:type="dxa"/>
              <w:left w:w="120" w:type="dxa"/>
              <w:right w:w="120" w:type="dxa"/>
            </w:tcMar>
            <w:shd w:fill="1B365D"/>
            <w:tcBorders>
              <w:top w:val="none"/>
              <w:bottom w:val="single" w:sz="6" w:space="0" w:color="1B365D"/>
              <w:left w:val="none"/>
              <w:right w:val="none"/>
            </w:tcBorders>
          </w:tcPr>
          <w:p>
            <w:pPr>
              <w:spacing w:after="0"/>
            </w:pPr>
            <w:r>
              <w:rPr>
                <w:b/>
                <w:color w:val="FFFFFF"/>
                <w:sz w:val="21"/>
              </w:rPr>
              <w:t>Long-Term Target</w:t>
            </w:r>
          </w:p>
        </w:tc>
      </w:tr>
      <w:tr>
        <w:tc>
          <w:tcPr>
            <w:tcW w:type="dxa" w:w="1728"/>
            <w:tcMar>
              <w:top w:w="100" w:type="dxa"/>
              <w:bottom w:w="100" w:type="dxa"/>
              <w:left w:w="120" w:type="dxa"/>
              <w:right w:w="120" w:type="dxa"/>
            </w:tcMar>
            <w:shd w:fill="F9FAFB"/>
            <w:tcBorders>
              <w:top w:val="none"/>
              <w:bottom w:val="single" w:sz="4" w:space="0" w:color="E5E7EB"/>
              <w:left w:val="none"/>
              <w:right w:val="none"/>
            </w:tcBorders>
          </w:tcPr>
          <w:p>
            <w:pPr>
              <w:spacing w:after="0"/>
            </w:pPr>
            <w:r>
              <w:rPr>
                <w:b/>
                <w:sz w:val="19"/>
              </w:rPr>
              <w:t>Performance</w:t>
            </w:r>
          </w:p>
        </w:tc>
        <w:tc>
          <w:tcPr>
            <w:tcW w:type="dxa" w:w="3744"/>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Schedule and matching views load &lt; 2s; matching suggestions computed within seconds natively.</w:t>
            </w:r>
          </w:p>
        </w:tc>
        <w:tc>
          <w:tcPr>
            <w:tcW w:type="dxa" w:w="3888"/>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API p95 &lt; 200ms under sustained concurrent production load.</w:t>
            </w:r>
          </w:p>
        </w:tc>
      </w:tr>
      <w:tr>
        <w:tc>
          <w:tcPr>
            <w:tcW w:type="dxa" w:w="1728"/>
            <w:tcMar>
              <w:top w:w="100" w:type="dxa"/>
              <w:bottom w:w="100" w:type="dxa"/>
              <w:left w:w="120" w:type="dxa"/>
              <w:right w:w="120" w:type="dxa"/>
            </w:tcMar>
            <w:shd w:fill="FFFFFF"/>
            <w:tcBorders>
              <w:top w:val="none"/>
              <w:bottom w:val="single" w:sz="4" w:space="0" w:color="E5E7EB"/>
              <w:left w:val="none"/>
              <w:right w:val="none"/>
            </w:tcBorders>
          </w:tcPr>
          <w:p>
            <w:pPr>
              <w:spacing w:after="0"/>
            </w:pPr>
            <w:r>
              <w:rPr>
                <w:b/>
                <w:sz w:val="19"/>
              </w:rPr>
              <w:t>Scalability</w:t>
            </w:r>
          </w:p>
        </w:tc>
        <w:tc>
          <w:tcPr>
            <w:tcW w:type="dxa" w:w="3744"/>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France launch readiness; hundreds of active coaches and thousands of verified monthly sessions.</w:t>
            </w:r>
          </w:p>
        </w:tc>
        <w:tc>
          <w:tcPr>
            <w:tcW w:type="dxa" w:w="3888"/>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National scale coverage; full horizontal auto-scaling container configurations.</w:t>
            </w:r>
          </w:p>
        </w:tc>
      </w:tr>
      <w:tr>
        <w:tc>
          <w:tcPr>
            <w:tcW w:type="dxa" w:w="1728"/>
            <w:tcMar>
              <w:top w:w="100" w:type="dxa"/>
              <w:bottom w:w="100" w:type="dxa"/>
              <w:left w:w="120" w:type="dxa"/>
              <w:right w:w="120" w:type="dxa"/>
            </w:tcMar>
            <w:shd w:fill="F9FAFB"/>
            <w:tcBorders>
              <w:top w:val="none"/>
              <w:bottom w:val="single" w:sz="4" w:space="0" w:color="E5E7EB"/>
              <w:left w:val="none"/>
              <w:right w:val="none"/>
            </w:tcBorders>
          </w:tcPr>
          <w:p>
            <w:pPr>
              <w:spacing w:after="0"/>
            </w:pPr>
            <w:r>
              <w:rPr>
                <w:b/>
                <w:sz w:val="19"/>
              </w:rPr>
              <w:t>Security</w:t>
            </w:r>
          </w:p>
        </w:tc>
        <w:tc>
          <w:tcPr>
            <w:tcW w:type="dxa" w:w="3744"/>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HTTPS end-to-end; strict role-based access control (Coach / EHPAD / Admin); full GDPR compliance; KYC documents encrypted at rest.</w:t>
            </w:r>
          </w:p>
        </w:tc>
        <w:tc>
          <w:tcPr>
            <w:tcW w:type="dxa" w:w="3888"/>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OWASP Top 10 compliance compliance; annual formal security audit; GDPR DPA execution with all sub-processors.</w:t>
            </w:r>
          </w:p>
        </w:tc>
      </w:tr>
      <w:tr>
        <w:tc>
          <w:tcPr>
            <w:tcW w:type="dxa" w:w="1728"/>
            <w:tcMar>
              <w:top w:w="100" w:type="dxa"/>
              <w:bottom w:w="100" w:type="dxa"/>
              <w:left w:w="120" w:type="dxa"/>
              <w:right w:w="120" w:type="dxa"/>
            </w:tcMar>
            <w:shd w:fill="FFFFFF"/>
            <w:tcBorders>
              <w:top w:val="none"/>
              <w:bottom w:val="single" w:sz="4" w:space="0" w:color="E5E7EB"/>
              <w:left w:val="none"/>
              <w:right w:val="none"/>
            </w:tcBorders>
          </w:tcPr>
          <w:p>
            <w:pPr>
              <w:spacing w:after="0"/>
            </w:pPr>
            <w:r>
              <w:rPr>
                <w:b/>
                <w:sz w:val="19"/>
              </w:rPr>
              <w:t>Availability</w:t>
            </w:r>
          </w:p>
        </w:tc>
        <w:tc>
          <w:tcPr>
            <w:tcW w:type="dxa" w:w="3744"/>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99% uptime commitment (backend API + core matching engine execution).</w:t>
            </w:r>
          </w:p>
        </w:tc>
        <w:tc>
          <w:tcPr>
            <w:tcW w:type="dxa" w:w="3888"/>
            <w:tcMar>
              <w:top w:w="100" w:type="dxa"/>
              <w:bottom w:w="100" w:type="dxa"/>
              <w:left w:w="120" w:type="dxa"/>
              <w:right w:w="120" w:type="dxa"/>
            </w:tcMar>
            <w:shd w:fill="FFFFFF"/>
            <w:tcBorders>
              <w:top w:val="none"/>
              <w:bottom w:val="single" w:sz="4" w:space="0" w:color="E5E7EB"/>
              <w:left w:val="none"/>
              <w:right w:val="none"/>
            </w:tcBorders>
          </w:tcPr>
          <w:p>
            <w:pPr>
              <w:spacing w:after="0"/>
            </w:pPr>
            <w:r>
              <w:rPr>
                <w:sz w:val="19"/>
              </w:rPr>
              <w:t>99.9% uptime SLA; fully automated multi-region health checks and instant developer alerting.</w:t>
            </w:r>
          </w:p>
        </w:tc>
      </w:tr>
      <w:tr>
        <w:tc>
          <w:tcPr>
            <w:tcW w:type="dxa" w:w="1728"/>
            <w:tcMar>
              <w:top w:w="100" w:type="dxa"/>
              <w:bottom w:w="100" w:type="dxa"/>
              <w:left w:w="120" w:type="dxa"/>
              <w:right w:w="120" w:type="dxa"/>
            </w:tcMar>
            <w:shd w:fill="F9FAFB"/>
            <w:tcBorders>
              <w:top w:val="none"/>
              <w:bottom w:val="single" w:sz="4" w:space="0" w:color="E5E7EB"/>
              <w:left w:val="none"/>
              <w:right w:val="none"/>
            </w:tcBorders>
          </w:tcPr>
          <w:p>
            <w:pPr>
              <w:spacing w:after="0"/>
            </w:pPr>
            <w:r>
              <w:rPr>
                <w:b/>
                <w:sz w:val="19"/>
              </w:rPr>
              <w:t>Accessibility</w:t>
            </w:r>
          </w:p>
        </w:tc>
        <w:tc>
          <w:tcPr>
            <w:tcW w:type="dxa" w:w="3744"/>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Ultra-simple UX requiring no advanced training; fully usable by non-technical users of all ages seamlessly.</w:t>
            </w:r>
          </w:p>
        </w:tc>
        <w:tc>
          <w:tcPr>
            <w:tcW w:type="dxa" w:w="3888"/>
            <w:tcMar>
              <w:top w:w="100" w:type="dxa"/>
              <w:bottom w:w="100" w:type="dxa"/>
              <w:left w:w="120" w:type="dxa"/>
              <w:right w:w="120" w:type="dxa"/>
            </w:tcMar>
            <w:shd w:fill="F9FAFB"/>
            <w:tcBorders>
              <w:top w:val="none"/>
              <w:bottom w:val="single" w:sz="4" w:space="0" w:color="E5E7EB"/>
              <w:left w:val="none"/>
              <w:right w:val="none"/>
            </w:tcBorders>
          </w:tcPr>
          <w:p>
            <w:pPr>
              <w:spacing w:after="0"/>
            </w:pPr>
            <w:r>
              <w:rPr>
                <w:sz w:val="19"/>
              </w:rPr>
              <w:t>Full WCAG 2.1 AA compliance certification; complete internationalisation framework support (FR / EN).</w:t>
            </w:r>
          </w:p>
        </w:tc>
      </w:tr>
    </w:tbl>
    <w:p>
      <w:pPr>
        <w:spacing w:after="240"/>
      </w:pPr>
    </w:p>
    <w:p>
      <w:pPr>
        <w:keepNext/>
        <w:spacing w:before="240" w:after="120"/>
        <w:pBdr>
          <w:bottom w:val="single" w:sz="12" w:space="4" w:color="1B365D"/>
        </w:pBdr>
      </w:pPr>
      <w:r>
        <w:rPr>
          <w:rFonts w:ascii="Calibri" w:hAnsi="Calibri"/>
          <w:b/>
          <w:color w:val="1B365D"/>
          <w:sz w:val="36"/>
        </w:rPr>
        <w:t>6. Roadmap &amp; Planning</w:t>
      </w:r>
    </w:p>
    <w:p>
      <w:pPr>
        <w:keepNext/>
        <w:spacing w:before="240" w:after="120"/>
      </w:pPr>
      <w:r>
        <w:rPr>
          <w:rFonts w:ascii="Calibri" w:hAnsi="Calibri"/>
          <w:b/>
          <w:color w:val="4A777A"/>
          <w:sz w:val="28"/>
        </w:rPr>
        <w:t>6.1 Project Phases</w:t>
      </w:r>
    </w:p>
    <w:tbl>
      <w:tblPr>
        <w:tblW w:type="auto" w:w="0"/>
        <w:jc w:val="center"/>
        <w:tblLayout w:type="fixed"/>
        <w:tblLook w:firstColumn="1" w:firstRow="1" w:lastColumn="0" w:lastRow="0" w:noHBand="0" w:noVBand="1" w:val="04A0"/>
      </w:tblPr>
      <w:tblGrid>
        <w:gridCol w:w="2257"/>
        <w:gridCol w:w="2257"/>
        <w:gridCol w:w="2257"/>
        <w:gridCol w:w="2257"/>
      </w:tblGrid>
      <w:tr>
        <w:trPr>
          <w:tblHeader/>
        </w:trPr>
        <w:tc>
          <w:tcPr>
            <w:tcW w:type="dxa" w:w="1872"/>
            <w:tcMar>
              <w:top w:w="100" w:type="dxa"/>
              <w:bottom w:w="100" w:type="dxa"/>
              <w:left w:w="100" w:type="dxa"/>
              <w:right w:w="100" w:type="dxa"/>
            </w:tcMar>
            <w:shd w:fill="4A777A"/>
            <w:tcBorders>
              <w:top w:val="none"/>
              <w:bottom w:val="single" w:sz="6" w:space="0" w:color="4A777A"/>
              <w:left w:val="none"/>
              <w:right w:val="none"/>
            </w:tcBorders>
          </w:tcPr>
          <w:p>
            <w:pPr>
              <w:spacing w:after="0"/>
            </w:pPr>
            <w:r>
              <w:rPr>
                <w:b/>
                <w:color w:val="FFFFFF"/>
                <w:sz w:val="21"/>
              </w:rPr>
              <w:t>Phase</w:t>
            </w:r>
          </w:p>
        </w:tc>
        <w:tc>
          <w:tcPr>
            <w:tcW w:type="dxa" w:w="1296"/>
            <w:tcMar>
              <w:top w:w="100" w:type="dxa"/>
              <w:bottom w:w="100" w:type="dxa"/>
              <w:left w:w="100" w:type="dxa"/>
              <w:right w:w="100" w:type="dxa"/>
            </w:tcMar>
            <w:shd w:fill="4A777A"/>
            <w:tcBorders>
              <w:top w:val="none"/>
              <w:bottom w:val="single" w:sz="6" w:space="0" w:color="4A777A"/>
              <w:left w:val="none"/>
              <w:right w:val="none"/>
            </w:tcBorders>
          </w:tcPr>
          <w:p>
            <w:pPr>
              <w:spacing w:after="0"/>
            </w:pPr>
            <w:r>
              <w:rPr>
                <w:b/>
                <w:color w:val="FFFFFF"/>
                <w:sz w:val="21"/>
              </w:rPr>
              <w:t>Duration</w:t>
            </w:r>
          </w:p>
        </w:tc>
        <w:tc>
          <w:tcPr>
            <w:tcW w:type="dxa" w:w="1872"/>
            <w:tcMar>
              <w:top w:w="100" w:type="dxa"/>
              <w:bottom w:w="100" w:type="dxa"/>
              <w:left w:w="100" w:type="dxa"/>
              <w:right w:w="100" w:type="dxa"/>
            </w:tcMar>
            <w:shd w:fill="4A777A"/>
            <w:tcBorders>
              <w:top w:val="none"/>
              <w:bottom w:val="single" w:sz="6" w:space="0" w:color="4A777A"/>
              <w:left w:val="none"/>
              <w:right w:val="none"/>
            </w:tcBorders>
          </w:tcPr>
          <w:p>
            <w:pPr>
              <w:spacing w:after="0"/>
            </w:pPr>
            <w:r>
              <w:rPr>
                <w:b/>
                <w:color w:val="FFFFFF"/>
                <w:sz w:val="21"/>
              </w:rPr>
              <w:t>Team</w:t>
            </w:r>
          </w:p>
        </w:tc>
        <w:tc>
          <w:tcPr>
            <w:tcW w:type="dxa" w:w="4320"/>
            <w:tcMar>
              <w:top w:w="100" w:type="dxa"/>
              <w:bottom w:w="100" w:type="dxa"/>
              <w:left w:w="100" w:type="dxa"/>
              <w:right w:w="100" w:type="dxa"/>
            </w:tcMar>
            <w:shd w:fill="4A777A"/>
            <w:tcBorders>
              <w:top w:val="none"/>
              <w:bottom w:val="single" w:sz="6" w:space="0" w:color="4A777A"/>
              <w:left w:val="none"/>
              <w:right w:val="none"/>
            </w:tcBorders>
          </w:tcPr>
          <w:p>
            <w:pPr>
              <w:spacing w:after="0"/>
            </w:pPr>
            <w:r>
              <w:rPr>
                <w:b/>
                <w:color w:val="FFFFFF"/>
                <w:sz w:val="21"/>
              </w:rPr>
              <w:t>Deliverables</w:t>
            </w:r>
          </w:p>
        </w:tc>
      </w:tr>
      <w:tr>
        <w:tc>
          <w:tcPr>
            <w:tcW w:type="dxa" w:w="1872"/>
            <w:tcMar>
              <w:top w:w="100" w:type="dxa"/>
              <w:bottom w:w="100" w:type="dxa"/>
              <w:left w:w="100" w:type="dxa"/>
              <w:right w:w="100" w:type="dxa"/>
            </w:tcMar>
            <w:shd w:fill="F9FAFB"/>
            <w:tcBorders>
              <w:top w:val="none"/>
              <w:bottom w:val="single" w:sz="4" w:space="0" w:color="E5E7EB"/>
              <w:left w:val="none"/>
              <w:right w:val="none"/>
            </w:tcBorders>
          </w:tcPr>
          <w:p>
            <w:pPr>
              <w:spacing w:after="0"/>
            </w:pPr>
            <w:r>
              <w:rPr>
                <w:b/>
                <w:sz w:val="19"/>
              </w:rPr>
              <w:t>Phase 0 - Discovery &amp; Scoping</w:t>
            </w:r>
          </w:p>
        </w:tc>
        <w:tc>
          <w:tcPr>
            <w:tcW w:type="dxa" w:w="1296"/>
            <w:tcMar>
              <w:top w:w="100" w:type="dxa"/>
              <w:bottom w:w="100" w:type="dxa"/>
              <w:left w:w="100" w:type="dxa"/>
              <w:right w:w="100" w:type="dxa"/>
            </w:tcMar>
            <w:shd w:fill="F9FAFB"/>
            <w:tcBorders>
              <w:top w:val="none"/>
              <w:bottom w:val="single" w:sz="4" w:space="0" w:color="E5E7EB"/>
              <w:left w:val="none"/>
              <w:right w:val="none"/>
            </w:tcBorders>
          </w:tcPr>
          <w:p>
            <w:pPr>
              <w:spacing w:after="0"/>
            </w:pPr>
            <w:r>
              <w:rPr>
                <w:sz w:val="19"/>
              </w:rPr>
              <w:t>~1.5 weeks</w:t>
            </w:r>
          </w:p>
        </w:tc>
        <w:tc>
          <w:tcPr>
            <w:tcW w:type="dxa" w:w="1872"/>
            <w:tcMar>
              <w:top w:w="100" w:type="dxa"/>
              <w:bottom w:w="100" w:type="dxa"/>
              <w:left w:w="100" w:type="dxa"/>
              <w:right w:w="100" w:type="dxa"/>
            </w:tcMar>
            <w:shd w:fill="F9FAFB"/>
            <w:tcBorders>
              <w:top w:val="none"/>
              <w:bottom w:val="single" w:sz="4" w:space="0" w:color="E5E7EB"/>
              <w:left w:val="none"/>
              <w:right w:val="none"/>
            </w:tcBorders>
          </w:tcPr>
          <w:p>
            <w:pPr>
              <w:spacing w:after="0"/>
            </w:pPr>
            <w:r>
              <w:rPr>
                <w:sz w:val="19"/>
              </w:rPr>
              <w:t>PM, Tech Lead, UX Designer</w:t>
            </w:r>
          </w:p>
        </w:tc>
        <w:tc>
          <w:tcPr>
            <w:tcW w:type="dxa" w:w="4320"/>
            <w:tcMar>
              <w:top w:w="100" w:type="dxa"/>
              <w:bottom w:w="100" w:type="dxa"/>
              <w:left w:w="100" w:type="dxa"/>
              <w:right w:w="100" w:type="dxa"/>
            </w:tcMar>
            <w:shd w:fill="F9FAFB"/>
            <w:tcBorders>
              <w:top w:val="none"/>
              <w:bottom w:val="single" w:sz="4" w:space="0" w:color="E5E7EB"/>
              <w:left w:val="none"/>
              <w:right w:val="none"/>
            </w:tcBorders>
          </w:tcPr>
          <w:p>
            <w:pPr>
              <w:spacing w:after="0"/>
            </w:pPr>
            <w:r>
              <w:rPr>
                <w:sz w:val="19"/>
              </w:rPr>
              <w:t>Scoping workshops; MVP scope validation; defined business rules (matching logic, check-in window, cancellation policy, incident handling); prioritised user stories (Coach / EHPAD / Admin); Jira backlog and sprint setup; Work Breakdown Structure (WBS) and official project charter.</w:t>
            </w:r>
          </w:p>
        </w:tc>
      </w:tr>
      <w:tr>
        <w:tc>
          <w:tcPr>
            <w:tcW w:type="dxa" w:w="1872"/>
            <w:tcMar>
              <w:top w:w="100" w:type="dxa"/>
              <w:bottom w:w="100" w:type="dxa"/>
              <w:left w:w="100" w:type="dxa"/>
              <w:right w:w="100" w:type="dxa"/>
            </w:tcMar>
            <w:shd w:fill="FFFFFF"/>
            <w:tcBorders>
              <w:top w:val="none"/>
              <w:bottom w:val="single" w:sz="4" w:space="0" w:color="E5E7EB"/>
              <w:left w:val="none"/>
              <w:right w:val="none"/>
            </w:tcBorders>
          </w:tcPr>
          <w:p>
            <w:pPr>
              <w:spacing w:after="0"/>
            </w:pPr>
            <w:r>
              <w:rPr>
                <w:b/>
                <w:sz w:val="19"/>
              </w:rPr>
              <w:t>Phase 1 - Design &amp; MVP Build</w:t>
            </w:r>
          </w:p>
        </w:tc>
        <w:tc>
          <w:tcPr>
            <w:tcW w:type="dxa" w:w="1296"/>
            <w:tcMar>
              <w:top w:w="100" w:type="dxa"/>
              <w:bottom w:w="100" w:type="dxa"/>
              <w:left w:w="100" w:type="dxa"/>
              <w:right w:w="100" w:type="dxa"/>
            </w:tcMar>
            <w:shd w:fill="FFFFFF"/>
            <w:tcBorders>
              <w:top w:val="none"/>
              <w:bottom w:val="single" w:sz="4" w:space="0" w:color="E5E7EB"/>
              <w:left w:val="none"/>
              <w:right w:val="none"/>
            </w:tcBorders>
          </w:tcPr>
          <w:p>
            <w:pPr>
              <w:spacing w:after="0"/>
            </w:pPr>
            <w:r>
              <w:rPr>
                <w:sz w:val="19"/>
              </w:rPr>
              <w:t>~10 weeks</w:t>
            </w:r>
          </w:p>
        </w:tc>
        <w:tc>
          <w:tcPr>
            <w:tcW w:type="dxa" w:w="1872"/>
            <w:tcMar>
              <w:top w:w="100" w:type="dxa"/>
              <w:bottom w:w="100" w:type="dxa"/>
              <w:left w:w="100" w:type="dxa"/>
              <w:right w:w="100" w:type="dxa"/>
            </w:tcMar>
            <w:shd w:fill="FFFFFF"/>
            <w:tcBorders>
              <w:top w:val="none"/>
              <w:bottom w:val="single" w:sz="4" w:space="0" w:color="E5E7EB"/>
              <w:left w:val="none"/>
              <w:right w:val="none"/>
            </w:tcBorders>
          </w:tcPr>
          <w:p>
            <w:pPr>
              <w:spacing w:after="0"/>
            </w:pPr>
            <w:r>
              <w:rPr>
                <w:sz w:val="19"/>
              </w:rPr>
              <w:t>UX Designer, Mobile Dev, Web Dev, Backend Dev</w:t>
            </w:r>
          </w:p>
        </w:tc>
        <w:tc>
          <w:tcPr>
            <w:tcW w:type="dxa" w:w="4320"/>
            <w:tcMar>
              <w:top w:w="100" w:type="dxa"/>
              <w:bottom w:w="100" w:type="dxa"/>
              <w:left w:w="100" w:type="dxa"/>
              <w:right w:w="100" w:type="dxa"/>
            </w:tcMar>
            <w:shd w:fill="FFFFFF"/>
            <w:tcBorders>
              <w:top w:val="none"/>
              <w:bottom w:val="single" w:sz="4" w:space="0" w:color="E5E7EB"/>
              <w:left w:val="none"/>
              <w:right w:val="none"/>
            </w:tcBorders>
          </w:tcPr>
          <w:p>
            <w:pPr>
              <w:spacing w:after="0"/>
            </w:pPr>
            <w:r>
              <w:rPr>
                <w:sz w:val="19"/>
              </w:rPr>
              <w:t>UX/UI engineering (Figma audit, MVP full interactive screens, complete design system); production coach mobile application; responsive EHPAD client web portal; DS operational web back-office suite; Supabase scalable backend architecture; composite-score matching algorithm execution; live geolocated check-in; 6-step post-session reporting; automated contract and session generation engine; Pennylane invoicing API sync; cross-platform notifications; admin analytics dashboard and business KPIs. Deliverable: Full staging environment.</w:t>
            </w:r>
          </w:p>
        </w:tc>
      </w:tr>
      <w:tr>
        <w:tc>
          <w:tcPr>
            <w:tcW w:type="dxa" w:w="1872"/>
            <w:tcMar>
              <w:top w:w="100" w:type="dxa"/>
              <w:bottom w:w="100" w:type="dxa"/>
              <w:left w:w="100" w:type="dxa"/>
              <w:right w:w="100" w:type="dxa"/>
            </w:tcMar>
            <w:shd w:fill="F9FAFB"/>
            <w:tcBorders>
              <w:top w:val="none"/>
              <w:bottom w:val="single" w:sz="4" w:space="0" w:color="E5E7EB"/>
              <w:left w:val="none"/>
              <w:right w:val="none"/>
            </w:tcBorders>
          </w:tcPr>
          <w:p>
            <w:pPr>
              <w:spacing w:after="0"/>
            </w:pPr>
            <w:r>
              <w:rPr>
                <w:b/>
                <w:sz w:val="19"/>
              </w:rPr>
              <w:t>Phase 2 - Beta &amp; QA</w:t>
            </w:r>
          </w:p>
        </w:tc>
        <w:tc>
          <w:tcPr>
            <w:tcW w:type="dxa" w:w="1296"/>
            <w:tcMar>
              <w:top w:w="100" w:type="dxa"/>
              <w:bottom w:w="100" w:type="dxa"/>
              <w:left w:w="100" w:type="dxa"/>
              <w:right w:w="100" w:type="dxa"/>
            </w:tcMar>
            <w:shd w:fill="F9FAFB"/>
            <w:tcBorders>
              <w:top w:val="none"/>
              <w:bottom w:val="single" w:sz="4" w:space="0" w:color="E5E7EB"/>
              <w:left w:val="none"/>
              <w:right w:val="none"/>
            </w:tcBorders>
          </w:tcPr>
          <w:p>
            <w:pPr>
              <w:spacing w:after="0"/>
            </w:pPr>
            <w:r>
              <w:rPr>
                <w:sz w:val="19"/>
              </w:rPr>
              <w:t>~1 week</w:t>
            </w:r>
          </w:p>
        </w:tc>
        <w:tc>
          <w:tcPr>
            <w:tcW w:type="dxa" w:w="1872"/>
            <w:tcMar>
              <w:top w:w="100" w:type="dxa"/>
              <w:bottom w:w="100" w:type="dxa"/>
              <w:left w:w="100" w:type="dxa"/>
              <w:right w:w="100" w:type="dxa"/>
            </w:tcMar>
            <w:shd w:fill="F9FAFB"/>
            <w:tcBorders>
              <w:top w:val="none"/>
              <w:bottom w:val="single" w:sz="4" w:space="0" w:color="E5E7EB"/>
              <w:left w:val="none"/>
              <w:right w:val="none"/>
            </w:tcBorders>
          </w:tcPr>
          <w:p>
            <w:pPr>
              <w:spacing w:after="0"/>
            </w:pPr>
            <w:r>
              <w:rPr>
                <w:sz w:val="19"/>
              </w:rPr>
              <w:t>QA, Mobile Dev, Web Dev, Backend Dev</w:t>
            </w:r>
          </w:p>
        </w:tc>
        <w:tc>
          <w:tcPr>
            <w:tcW w:type="dxa" w:w="4320"/>
            <w:tcMar>
              <w:top w:w="100" w:type="dxa"/>
              <w:bottom w:w="100" w:type="dxa"/>
              <w:left w:w="100" w:type="dxa"/>
              <w:right w:w="100" w:type="dxa"/>
            </w:tcMar>
            <w:shd w:fill="F9FAFB"/>
            <w:tcBorders>
              <w:top w:val="none"/>
              <w:bottom w:val="single" w:sz="4" w:space="0" w:color="E5E7EB"/>
              <w:left w:val="none"/>
              <w:right w:val="none"/>
            </w:tcBorders>
          </w:tcPr>
          <w:p>
            <w:pPr>
              <w:spacing w:after="0"/>
            </w:pPr>
            <w:r>
              <w:rPr>
                <w:sz w:val="19"/>
              </w:rPr>
              <w:t>Rigorous QA of all critical user journeys (scheduling flow, matching optimization, geolocation check-in stability, reporting logs, evaluation feedback, automated invoicing); comprehensive multi-device testing on iOS and Android targets; finalized pre-production release candidate officially validated by client stakeholders.</w:t>
            </w:r>
          </w:p>
        </w:tc>
      </w:tr>
      <w:tr>
        <w:tc>
          <w:tcPr>
            <w:tcW w:type="dxa" w:w="1872"/>
            <w:tcMar>
              <w:top w:w="100" w:type="dxa"/>
              <w:bottom w:w="100" w:type="dxa"/>
              <w:left w:w="100" w:type="dxa"/>
              <w:right w:w="100" w:type="dxa"/>
            </w:tcMar>
            <w:shd w:fill="FFFFFF"/>
            <w:tcBorders>
              <w:top w:val="none"/>
              <w:bottom w:val="single" w:sz="4" w:space="0" w:color="E5E7EB"/>
              <w:left w:val="none"/>
              <w:right w:val="none"/>
            </w:tcBorders>
          </w:tcPr>
          <w:p>
            <w:pPr>
              <w:spacing w:after="0"/>
            </w:pPr>
            <w:r>
              <w:rPr>
                <w:b/>
                <w:sz w:val="19"/>
              </w:rPr>
              <w:t>Phase 3 - Launch &amp; Handover</w:t>
            </w:r>
          </w:p>
        </w:tc>
        <w:tc>
          <w:tcPr>
            <w:tcW w:type="dxa" w:w="1296"/>
            <w:tcMar>
              <w:top w:w="100" w:type="dxa"/>
              <w:bottom w:w="100" w:type="dxa"/>
              <w:left w:w="100" w:type="dxa"/>
              <w:right w:w="100" w:type="dxa"/>
            </w:tcMar>
            <w:shd w:fill="FFFFFF"/>
            <w:tcBorders>
              <w:top w:val="none"/>
              <w:bottom w:val="single" w:sz="4" w:space="0" w:color="E5E7EB"/>
              <w:left w:val="none"/>
              <w:right w:val="none"/>
            </w:tcBorders>
          </w:tcPr>
          <w:p>
            <w:pPr>
              <w:spacing w:after="0"/>
            </w:pPr>
            <w:r>
              <w:rPr>
                <w:sz w:val="19"/>
              </w:rPr>
              <w:t>~1 week</w:t>
            </w:r>
          </w:p>
        </w:tc>
        <w:tc>
          <w:tcPr>
            <w:tcW w:type="dxa" w:w="1872"/>
            <w:tcMar>
              <w:top w:w="100" w:type="dxa"/>
              <w:bottom w:w="100" w:type="dxa"/>
              <w:left w:w="100" w:type="dxa"/>
              <w:right w:w="100" w:type="dxa"/>
            </w:tcMar>
            <w:shd w:fill="FFFFFF"/>
            <w:tcBorders>
              <w:top w:val="none"/>
              <w:bottom w:val="single" w:sz="4" w:space="0" w:color="E5E7EB"/>
              <w:left w:val="none"/>
              <w:right w:val="none"/>
            </w:tcBorders>
          </w:tcPr>
          <w:p>
            <w:pPr>
              <w:spacing w:after="0"/>
            </w:pPr>
            <w:r>
              <w:rPr>
                <w:sz w:val="19"/>
              </w:rPr>
              <w:t>DevOps, PM, DS Team</w:t>
            </w:r>
          </w:p>
        </w:tc>
        <w:tc>
          <w:tcPr>
            <w:tcW w:type="dxa" w:w="4320"/>
            <w:tcMar>
              <w:top w:w="100" w:type="dxa"/>
              <w:bottom w:w="100" w:type="dxa"/>
              <w:left w:w="100" w:type="dxa"/>
              <w:right w:w="100" w:type="dxa"/>
            </w:tcMar>
            <w:shd w:fill="FFFFFF"/>
            <w:tcBorders>
              <w:top w:val="none"/>
              <w:bottom w:val="single" w:sz="4" w:space="0" w:color="E5E7EB"/>
              <w:left w:val="none"/>
              <w:right w:val="none"/>
            </w:tcBorders>
          </w:tcPr>
          <w:p>
            <w:pPr>
              <w:spacing w:after="0"/>
            </w:pPr>
            <w:r>
              <w:rPr>
                <w:sz w:val="19"/>
              </w:rPr>
              <w:t>Official Apple App Store and Google Play Store publication; live production deployment; real-time operational monitoring setups; comprehensive DS team internal handover (operational runbook, custom back-office console training, corrective maintenance workflows setup).</w:t>
            </w:r>
          </w:p>
        </w:tc>
      </w:tr>
    </w:tbl>
    <w:p>
      <w:pPr>
        <w:spacing w:after="240"/>
      </w:pPr>
    </w:p>
    <w:p>
      <w:pPr>
        <w:keepNext/>
        <w:spacing w:before="240" w:after="120"/>
        <w:pBdr>
          <w:bottom w:val="single" w:sz="12" w:space="4" w:color="1B365D"/>
        </w:pBdr>
      </w:pPr>
      <w:r>
        <w:rPr>
          <w:rFonts w:ascii="Calibri" w:hAnsi="Calibri"/>
          <w:b/>
          <w:color w:val="1B365D"/>
          <w:sz w:val="36"/>
        </w:rPr>
        <w:t>7. Appendices &amp; Related Documents</w:t>
      </w:r>
    </w:p>
    <w:p>
      <w:pPr>
        <w:spacing w:after="80"/>
      </w:pPr>
      <w:r>
        <w:t>The following supplemental engineering documents complement this PRD and provide immediate inputs for project execution scope:</w:t>
      </w:r>
    </w:p>
    <w:p>
      <w:pPr>
        <w:pStyle w:val="ListBullet"/>
        <w:spacing w:after="60"/>
      </w:pPr>
      <w:r>
        <w:rPr>
          <w:b/>
        </w:rPr>
        <w:t xml:space="preserve">User Story Backlog - </w:t>
      </w:r>
      <w:r>
        <w:t>Project master spreadsheet mapping out the complete, prioritized execution backlog of 143 structured user stories across 16 core epics (English definitions tab '2_Stories'; French definitions tab '2_Stories_FR').</w:t>
      </w:r>
    </w:p>
    <w:p>
      <w:pPr>
        <w:pStyle w:val="ListBullet"/>
        <w:spacing w:after="60"/>
      </w:pPr>
      <w:r>
        <w:rPr>
          <w:b/>
        </w:rPr>
        <w:t xml:space="preserve">Work Breakdown Structure (WBS) - </w:t>
      </w:r>
      <w:r>
        <w:t>Detailed task and sub-epic architectural breakdown meticulously organized by scheduled project delivery phase.</w:t>
      </w:r>
    </w:p>
    <w:p>
      <w:pPr>
        <w:pStyle w:val="ListBullet"/>
        <w:spacing w:after="60"/>
      </w:pPr>
      <w:r>
        <w:rPr>
          <w:b/>
        </w:rPr>
        <w:t xml:space="preserve">Scoping Workshop &amp; Q&amp;A Notes - </w:t>
      </w:r>
      <w:r>
        <w:t>Official engineering logs capturing definitive scoping decisions, custom business-rule clarifications, and agreements reached during scoping sessions (covering detailed matching logic parameters, geolocated check-in radius/windows, facility cancellation policy clauses, and granular session status state machines).</w:t>
      </w:r>
    </w:p>
    <w:p>
      <w:pPr>
        <w:pStyle w:val="ListBullet"/>
        <w:spacing w:after="60"/>
      </w:pPr>
      <w:r>
        <w:rPr>
          <w:b/>
        </w:rPr>
        <w:t xml:space="preserve">Functional Specifications &amp; Project Brief - </w:t>
      </w:r>
      <w:r>
        <w:t>Foundational documentation establishing high-level corporate business objectives, core target audience profiles, and complete ecosystem feature definitions.</w:t>
      </w:r>
    </w:p>
    <w:p>
      <w:pPr>
        <w:pStyle w:val="ListBullet"/>
        <w:spacing w:after="60"/>
      </w:pPr>
      <w:r>
        <w:rPr>
          <w:b/>
        </w:rPr>
        <w:t xml:space="preserve">Design Brief &amp; Figma References - </w:t>
      </w:r>
      <w:r>
        <w:t>Complete user interface guidelines mapping out corporate visual identity guidelines and approved high-fidelity MVP interactive screen mockups.</w:t>
      </w:r>
    </w:p>
    <w:p>
      <w:pPr>
        <w:pStyle w:val="ListBullet"/>
        <w:spacing w:after="60"/>
      </w:pPr>
      <w:r>
        <w:rPr>
          <w:b/>
        </w:rPr>
        <w:t xml:space="preserve">Kick-off Presentation - </w:t>
      </w:r>
      <w:r>
        <w:t>Onboarding presentation detailing core agile project methodology, engineering team orchestration tools (Slack, Jira), and global milestones delivery roadmap.</w:t>
      </w:r>
    </w:p>
    <w:p>
      <w:pPr>
        <w:keepNext/>
        <w:spacing w:before="280" w:after="120"/>
      </w:pPr>
      <w:r>
        <w:rPr>
          <w:rFonts w:ascii="Calibri" w:hAnsi="Calibri"/>
          <w:b/>
          <w:color w:val="4A777A"/>
          <w:sz w:val="28"/>
        </w:rPr>
        <w:t>Version History</w:t>
      </w:r>
    </w:p>
    <w:tbl>
      <w:tblPr>
        <w:tblW w:type="auto" w:w="0"/>
        <w:jc w:val="center"/>
        <w:tblLayout w:type="fixed"/>
        <w:tblLook w:firstColumn="1" w:firstRow="1" w:lastColumn="0" w:lastRow="0" w:noHBand="0" w:noVBand="1" w:val="04A0"/>
      </w:tblPr>
      <w:tblGrid>
        <w:gridCol w:w="2257"/>
        <w:gridCol w:w="2257"/>
        <w:gridCol w:w="2257"/>
        <w:gridCol w:w="2257"/>
      </w:tblGrid>
      <w:tr>
        <w:trPr>
          <w:tblHeader/>
        </w:trPr>
        <w:tc>
          <w:tcPr>
            <w:tcW w:type="dxa" w:w="1440"/>
            <w:tcMar>
              <w:top w:w="100" w:type="dxa"/>
              <w:bottom w:w="100" w:type="dxa"/>
              <w:left w:w="100" w:type="dxa"/>
              <w:right w:w="100" w:type="dxa"/>
            </w:tcMar>
            <w:shd w:fill="1B365D"/>
            <w:tcBorders>
              <w:top w:val="none"/>
              <w:bottom w:val="single" w:sz="6" w:space="0" w:color="1B365D"/>
              <w:left w:val="none"/>
              <w:right w:val="none"/>
            </w:tcBorders>
          </w:tcPr>
          <w:p>
            <w:pPr>
              <w:spacing w:after="0"/>
            </w:pPr>
            <w:r>
              <w:rPr>
                <w:b/>
                <w:color w:val="FFFFFF"/>
                <w:sz w:val="21"/>
              </w:rPr>
              <w:t>Version</w:t>
            </w:r>
          </w:p>
        </w:tc>
        <w:tc>
          <w:tcPr>
            <w:tcW w:type="dxa" w:w="1872"/>
            <w:tcMar>
              <w:top w:w="100" w:type="dxa"/>
              <w:bottom w:w="100" w:type="dxa"/>
              <w:left w:w="100" w:type="dxa"/>
              <w:right w:w="100" w:type="dxa"/>
            </w:tcMar>
            <w:shd w:fill="1B365D"/>
            <w:tcBorders>
              <w:top w:val="none"/>
              <w:bottom w:val="single" w:sz="6" w:space="0" w:color="1B365D"/>
              <w:left w:val="none"/>
              <w:right w:val="none"/>
            </w:tcBorders>
          </w:tcPr>
          <w:p>
            <w:pPr>
              <w:spacing w:after="0"/>
            </w:pPr>
            <w:r>
              <w:rPr>
                <w:b/>
                <w:color w:val="FFFFFF"/>
                <w:sz w:val="21"/>
              </w:rPr>
              <w:t>Date</w:t>
            </w:r>
          </w:p>
        </w:tc>
        <w:tc>
          <w:tcPr>
            <w:tcW w:type="dxa" w:w="2160"/>
            <w:tcMar>
              <w:top w:w="100" w:type="dxa"/>
              <w:bottom w:w="100" w:type="dxa"/>
              <w:left w:w="100" w:type="dxa"/>
              <w:right w:w="100" w:type="dxa"/>
            </w:tcMar>
            <w:shd w:fill="1B365D"/>
            <w:tcBorders>
              <w:top w:val="none"/>
              <w:bottom w:val="single" w:sz="6" w:space="0" w:color="1B365D"/>
              <w:left w:val="none"/>
              <w:right w:val="none"/>
            </w:tcBorders>
          </w:tcPr>
          <w:p>
            <w:pPr>
              <w:spacing w:after="0"/>
            </w:pPr>
            <w:r>
              <w:rPr>
                <w:b/>
                <w:color w:val="FFFFFF"/>
                <w:sz w:val="21"/>
              </w:rPr>
              <w:t>Author</w:t>
            </w:r>
          </w:p>
        </w:tc>
        <w:tc>
          <w:tcPr>
            <w:tcW w:type="dxa" w:w="3888"/>
            <w:tcMar>
              <w:top w:w="100" w:type="dxa"/>
              <w:bottom w:w="100" w:type="dxa"/>
              <w:left w:w="100" w:type="dxa"/>
              <w:right w:w="100" w:type="dxa"/>
            </w:tcMar>
            <w:shd w:fill="1B365D"/>
            <w:tcBorders>
              <w:top w:val="none"/>
              <w:bottom w:val="single" w:sz="6" w:space="0" w:color="1B365D"/>
              <w:left w:val="none"/>
              <w:right w:val="none"/>
            </w:tcBorders>
          </w:tcPr>
          <w:p>
            <w:pPr>
              <w:spacing w:after="0"/>
            </w:pPr>
            <w:r>
              <w:rPr>
                <w:b/>
                <w:color w:val="FFFFFF"/>
                <w:sz w:val="21"/>
              </w:rPr>
              <w:t>Changes</w:t>
            </w:r>
          </w:p>
        </w:tc>
      </w:tr>
      <w:tr>
        <w:tc>
          <w:tcPr>
            <w:tcW w:type="dxa" w:w="1440"/>
            <w:tcMar>
              <w:top w:w="100" w:type="dxa"/>
              <w:bottom w:w="100" w:type="dxa"/>
              <w:left w:w="100" w:type="dxa"/>
              <w:right w:w="100" w:type="dxa"/>
            </w:tcMar>
            <w:shd w:fill="F9FAFB"/>
            <w:tcBorders>
              <w:top w:val="none"/>
              <w:bottom w:val="single" w:sz="4" w:space="0" w:color="E5E7EB"/>
              <w:left w:val="none"/>
              <w:right w:val="none"/>
            </w:tcBorders>
          </w:tcPr>
          <w:p>
            <w:pPr>
              <w:spacing w:after="0"/>
            </w:pPr>
            <w:r>
              <w:rPr>
                <w:b/>
                <w:sz w:val="19"/>
              </w:rPr>
              <w:t>v0.1</w:t>
            </w:r>
          </w:p>
        </w:tc>
        <w:tc>
          <w:tcPr>
            <w:tcW w:type="dxa" w:w="1872"/>
            <w:tcMar>
              <w:top w:w="100" w:type="dxa"/>
              <w:bottom w:w="100" w:type="dxa"/>
              <w:left w:w="100" w:type="dxa"/>
              <w:right w:w="100" w:type="dxa"/>
            </w:tcMar>
            <w:shd w:fill="F9FAFB"/>
            <w:tcBorders>
              <w:top w:val="none"/>
              <w:bottom w:val="single" w:sz="4" w:space="0" w:color="E5E7EB"/>
              <w:left w:val="none"/>
              <w:right w:val="none"/>
            </w:tcBorders>
          </w:tcPr>
          <w:p>
            <w:pPr>
              <w:spacing w:after="0"/>
            </w:pPr>
            <w:r>
              <w:rPr>
                <w:sz w:val="19"/>
              </w:rPr>
              <w:t>March 11, 2026</w:t>
            </w:r>
          </w:p>
        </w:tc>
        <w:tc>
          <w:tcPr>
            <w:tcW w:type="dxa" w:w="2160"/>
            <w:tcMar>
              <w:top w:w="100" w:type="dxa"/>
              <w:bottom w:w="100" w:type="dxa"/>
              <w:left w:w="100" w:type="dxa"/>
              <w:right w:w="100" w:type="dxa"/>
            </w:tcMar>
            <w:shd w:fill="F9FAFB"/>
            <w:tcBorders>
              <w:top w:val="none"/>
              <w:bottom w:val="single" w:sz="4" w:space="0" w:color="E5E7EB"/>
              <w:left w:val="none"/>
              <w:right w:val="none"/>
            </w:tcBorders>
          </w:tcPr>
          <w:p>
            <w:pPr>
              <w:spacing w:after="0"/>
            </w:pPr>
            <w:r>
              <w:rPr>
                <w:sz w:val="19"/>
              </w:rPr>
              <w:t>Baptiste Liscouët</w:t>
            </w:r>
          </w:p>
        </w:tc>
        <w:tc>
          <w:tcPr>
            <w:tcW w:type="dxa" w:w="3888"/>
            <w:tcMar>
              <w:top w:w="100" w:type="dxa"/>
              <w:bottom w:w="100" w:type="dxa"/>
              <w:left w:w="100" w:type="dxa"/>
              <w:right w:w="100" w:type="dxa"/>
            </w:tcMar>
            <w:shd w:fill="F9FAFB"/>
            <w:tcBorders>
              <w:top w:val="none"/>
              <w:bottom w:val="single" w:sz="4" w:space="0" w:color="E5E7EB"/>
              <w:left w:val="none"/>
              <w:right w:val="none"/>
            </w:tcBorders>
          </w:tcPr>
          <w:p>
            <w:pPr>
              <w:spacing w:after="0"/>
            </w:pPr>
            <w:r>
              <w:rPr>
                <w:sz w:val="19"/>
              </w:rPr>
              <w:t>Initial document creation and baseline structural drafting.</w:t>
            </w:r>
          </w:p>
        </w:tc>
      </w:tr>
      <w:tr>
        <w:tc>
          <w:tcPr>
            <w:tcW w:type="dxa" w:w="1440"/>
            <w:tcMar>
              <w:top w:w="100" w:type="dxa"/>
              <w:bottom w:w="100" w:type="dxa"/>
              <w:left w:w="100" w:type="dxa"/>
              <w:right w:w="100" w:type="dxa"/>
            </w:tcMar>
            <w:shd w:fill="FFFFFF"/>
            <w:tcBorders>
              <w:top w:val="none"/>
              <w:bottom w:val="single" w:sz="4" w:space="0" w:color="E5E7EB"/>
              <w:left w:val="none"/>
              <w:right w:val="none"/>
            </w:tcBorders>
          </w:tcPr>
          <w:p>
            <w:pPr>
              <w:spacing w:after="0"/>
            </w:pPr>
            <w:r>
              <w:rPr>
                <w:b/>
                <w:sz w:val="19"/>
              </w:rPr>
              <w:t>v0.2</w:t>
            </w:r>
          </w:p>
        </w:tc>
        <w:tc>
          <w:tcPr>
            <w:tcW w:type="dxa" w:w="1872"/>
            <w:tcMar>
              <w:top w:w="100" w:type="dxa"/>
              <w:bottom w:w="100" w:type="dxa"/>
              <w:left w:w="100" w:type="dxa"/>
              <w:right w:w="100" w:type="dxa"/>
            </w:tcMar>
            <w:shd w:fill="FFFFFF"/>
            <w:tcBorders>
              <w:top w:val="none"/>
              <w:bottom w:val="single" w:sz="4" w:space="0" w:color="E5E7EB"/>
              <w:left w:val="none"/>
              <w:right w:val="none"/>
            </w:tcBorders>
          </w:tcPr>
          <w:p>
            <w:pPr>
              <w:spacing w:after="0"/>
            </w:pPr>
            <w:r>
              <w:rPr>
                <w:sz w:val="19"/>
              </w:rPr>
              <w:t>May 21, 2026</w:t>
            </w:r>
          </w:p>
        </w:tc>
        <w:tc>
          <w:tcPr>
            <w:tcW w:type="dxa" w:w="2160"/>
            <w:tcMar>
              <w:top w:w="100" w:type="dxa"/>
              <w:bottom w:w="100" w:type="dxa"/>
              <w:left w:w="100" w:type="dxa"/>
              <w:right w:w="100" w:type="dxa"/>
            </w:tcMar>
            <w:shd w:fill="FFFFFF"/>
            <w:tcBorders>
              <w:top w:val="none"/>
              <w:bottom w:val="single" w:sz="4" w:space="0" w:color="E5E7EB"/>
              <w:left w:val="none"/>
              <w:right w:val="none"/>
            </w:tcBorders>
          </w:tcPr>
          <w:p>
            <w:pPr>
              <w:spacing w:after="0"/>
            </w:pPr>
            <w:r>
              <w:rPr>
                <w:sz w:val="19"/>
              </w:rPr>
              <w:t>Baptiste Liscouët</w:t>
            </w:r>
          </w:p>
        </w:tc>
        <w:tc>
          <w:tcPr>
            <w:tcW w:type="dxa" w:w="3888"/>
            <w:tcMar>
              <w:top w:w="100" w:type="dxa"/>
              <w:bottom w:w="100" w:type="dxa"/>
              <w:left w:w="100" w:type="dxa"/>
              <w:right w:w="100" w:type="dxa"/>
            </w:tcMar>
            <w:shd w:fill="FFFFFF"/>
            <w:tcBorders>
              <w:top w:val="none"/>
              <w:bottom w:val="single" w:sz="4" w:space="0" w:color="E5E7EB"/>
              <w:left w:val="none"/>
              <w:right w:val="none"/>
            </w:tcBorders>
          </w:tcPr>
          <w:p>
            <w:pPr>
              <w:spacing w:after="0"/>
            </w:pPr>
            <w:r>
              <w:rPr>
                <w:sz w:val="19"/>
              </w:rPr>
              <w:t>Full core architectural rewrite strictly aligned to revised Deuxième Souffle APA-coaching / EHPAD ecosystem scope and the consolidated 143-story user-story execution backlog.</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