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EB59" w14:textId="7415F478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fldChar w:fldCharType="begin"/>
      </w: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instrText>HYPERLINK "https://iot.org.au/wp/wp-content/uploads/2021/05/IoTAA-Workstream-Case-Study-Smart-Buildings-Optus-Final-25-05-2021.pdf"</w:instrText>
      </w: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fldChar w:fldCharType="separate"/>
      </w:r>
      <w:r w:rsidRPr="003F14B9">
        <w:rPr>
          <w:rFonts w:ascii="Open Sans" w:eastAsia="Times New Roman" w:hAnsi="Open Sans" w:cs="Open Sans"/>
          <w:color w:val="2BA0A3"/>
          <w:kern w:val="0"/>
          <w:sz w:val="23"/>
          <w:szCs w:val="23"/>
          <w:lang w:eastAsia="en-AU"/>
          <w14:ligatures w14:val="none"/>
        </w:rPr>
        <w:t>How IoT is set to transform the property market</w:t>
      </w: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fldChar w:fldCharType="end"/>
      </w: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 – </w:t>
      </w:r>
      <w:r w:rsidRPr="003F14B9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Smart Places</w:t>
      </w:r>
      <w:r w:rsidRPr="003F14B9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ab/>
      </w:r>
      <w:r w:rsidR="00097692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Advocacy</w:t>
      </w:r>
    </w:p>
    <w:p w14:paraId="6C426CC7" w14:textId="15C42C44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5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SWARM Buoys – Real-Time Water Quality Monitoring in Reservoirs, Internet of Things Alliance Australia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 – Water Workstream in partnership with Water Services Association of Australia, July 2020</w:t>
      </w:r>
      <w:r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Water Practice</w:t>
      </w:r>
    </w:p>
    <w:p w14:paraId="4B53F804" w14:textId="7E5D2A5E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6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NTC Discussion paper – Government access to the vehicle-generated data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.</w:t>
      </w:r>
      <w:r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Smart Places Advocacy</w:t>
      </w:r>
    </w:p>
    <w:p w14:paraId="6F5E96AE" w14:textId="365B494E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7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Industry Renewal through digital infrastructure, 2nd June 2020.</w:t>
        </w:r>
      </w:hyperlink>
      <w:r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Main Advocacy</w:t>
      </w:r>
    </w:p>
    <w:p w14:paraId="71AA294A" w14:textId="0B82238D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</w:pPr>
      <w:hyperlink r:id="rId8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 who stops Dr Jekyll from becoming Mr Hyde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5 Oct 2018</w:t>
      </w:r>
      <w:r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Pr="003F14B9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Advocacy Trusted</w:t>
      </w:r>
    </w:p>
    <w:p w14:paraId="27FEEAA1" w14:textId="1091ED89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9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Social Licence and digital trust the problem statement 5 October 2018</w:t>
        </w:r>
      </w:hyperlink>
      <w:r w:rsidR="00792546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792546" w:rsidRPr="00792546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Advocacy Trusted</w:t>
      </w:r>
    </w:p>
    <w:p w14:paraId="217E175E" w14:textId="27CA6F22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0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Is Data Your Best Asset You Never Owned 23 August 2018</w:t>
        </w:r>
      </w:hyperlink>
      <w:r w:rsidR="00792546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792546" w:rsidRPr="00792546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Advocacy Trusted</w:t>
      </w:r>
    </w:p>
    <w:p w14:paraId="7D532CB7" w14:textId="5099DB35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1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GDPR a guide for Australian businesses, May 2018</w:t>
        </w:r>
      </w:hyperlink>
      <w:r w:rsidR="00CA1CAA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CA1CAA" w:rsidRPr="00CA1CAA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Advocacy Trusted</w:t>
      </w:r>
    </w:p>
    <w:p w14:paraId="51818870" w14:textId="36FFAB8F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2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Strategic Plan to Strengthen IoT Security in Australia v4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Sept 2017</w:t>
      </w:r>
      <w:r w:rsidR="00CA1CAA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FC353D" w:rsidRPr="00FC353D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Main Advocacy</w:t>
      </w:r>
    </w:p>
    <w:p w14:paraId="715C24D3" w14:textId="5F64FCE5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proofErr w:type="spellStart"/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IoTAA’s</w:t>
      </w:r>
      <w:proofErr w:type="spellEnd"/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Position Paper: </w:t>
      </w:r>
      <w:hyperlink r:id="rId13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Seizing the Internet of Things Opportunity for Australia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6 Sept, 2016</w:t>
      </w:r>
      <w:r w:rsidR="00FC353D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FC353D" w:rsidRPr="00FC353D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Main Advocacy</w:t>
      </w:r>
    </w:p>
    <w:p w14:paraId="7C1CBF5A" w14:textId="4367BA17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4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 and Spectrum Availability</w:t>
        </w:r>
      </w:hyperlink>
      <w:hyperlink r:id="rId15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,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 published by Workstream 4 of </w:t>
      </w:r>
      <w:proofErr w:type="spellStart"/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IoTAA</w:t>
      </w:r>
      <w:proofErr w:type="spellEnd"/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11 May 2016</w:t>
      </w:r>
      <w:r w:rsidR="00FC353D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FC353D" w:rsidRPr="00FC353D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Practice Trusted</w:t>
      </w:r>
    </w:p>
    <w:p w14:paraId="75E5CC43" w14:textId="3BC471EA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IOTAA report </w:t>
      </w:r>
      <w:hyperlink r:id="rId16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Enabling the Internet of Things for Australia: 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understand how Australia can harness the benefits of IoT – the “next great disruptor”, October 2015</w:t>
      </w:r>
      <w:r w:rsidR="00FC353D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FC353D" w:rsidRPr="00FC353D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Practice Trusted</w:t>
      </w:r>
    </w:p>
    <w:p w14:paraId="0BDA2E30" w14:textId="77777777" w:rsidR="003F14B9" w:rsidRDefault="003F14B9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</w:pPr>
      <w:r w:rsidRPr="003F14B9"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  <w:t>Codes of Practice and Guidelines</w:t>
      </w:r>
    </w:p>
    <w:p w14:paraId="5AC1BF99" w14:textId="77777777" w:rsidR="00FC353D" w:rsidRDefault="00FC353D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</w:pPr>
    </w:p>
    <w:p w14:paraId="17CD549C" w14:textId="23E76BD2" w:rsidR="00FC353D" w:rsidRPr="003F14B9" w:rsidRDefault="00FC353D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FF0000"/>
          <w:kern w:val="0"/>
          <w:sz w:val="28"/>
          <w:szCs w:val="28"/>
          <w:lang w:eastAsia="en-AU"/>
          <w14:ligatures w14:val="none"/>
        </w:rPr>
      </w:pPr>
      <w:r w:rsidRPr="00FC353D">
        <w:rPr>
          <w:rFonts w:ascii="Raleway" w:eastAsia="Times New Roman" w:hAnsi="Raleway" w:cs="Times New Roman"/>
          <w:color w:val="FF0000"/>
          <w:kern w:val="0"/>
          <w:sz w:val="28"/>
          <w:szCs w:val="28"/>
          <w:lang w:eastAsia="en-AU"/>
          <w14:ligatures w14:val="none"/>
        </w:rPr>
        <w:t xml:space="preserve">Include all the following under Practice </w:t>
      </w:r>
      <w:proofErr w:type="gramStart"/>
      <w:r w:rsidRPr="00FC353D">
        <w:rPr>
          <w:rFonts w:ascii="Raleway" w:eastAsia="Times New Roman" w:hAnsi="Raleway" w:cs="Times New Roman"/>
          <w:color w:val="FF0000"/>
          <w:kern w:val="0"/>
          <w:sz w:val="28"/>
          <w:szCs w:val="28"/>
          <w:lang w:eastAsia="en-AU"/>
          <w14:ligatures w14:val="none"/>
        </w:rPr>
        <w:t>In</w:t>
      </w:r>
      <w:proofErr w:type="gramEnd"/>
      <w:r w:rsidRPr="00FC353D">
        <w:rPr>
          <w:rFonts w:ascii="Raleway" w:eastAsia="Times New Roman" w:hAnsi="Raleway" w:cs="Times New Roman"/>
          <w:color w:val="FF0000"/>
          <w:kern w:val="0"/>
          <w:sz w:val="28"/>
          <w:szCs w:val="28"/>
          <w:lang w:eastAsia="en-AU"/>
          <w14:ligatures w14:val="none"/>
        </w:rPr>
        <w:t xml:space="preserve"> Main</w:t>
      </w:r>
      <w:r>
        <w:rPr>
          <w:rFonts w:ascii="Raleway" w:eastAsia="Times New Roman" w:hAnsi="Raleway" w:cs="Times New Roman"/>
          <w:color w:val="FF0000"/>
          <w:kern w:val="0"/>
          <w:sz w:val="28"/>
          <w:szCs w:val="28"/>
          <w:lang w:eastAsia="en-AU"/>
          <w14:ligatures w14:val="none"/>
        </w:rPr>
        <w:t xml:space="preserve"> under practice</w:t>
      </w:r>
    </w:p>
    <w:p w14:paraId="4C2AA70D" w14:textId="77777777" w:rsidR="003F14B9" w:rsidRPr="003F14B9" w:rsidRDefault="003F14B9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7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Interoperability by Design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 – Interoperability Workstream, 25 July 2022</w:t>
      </w:r>
    </w:p>
    <w:p w14:paraId="1B577FBB" w14:textId="77777777" w:rsidR="003F14B9" w:rsidRPr="003F14B9" w:rsidRDefault="003F14B9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8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IoT Providers Security Awareness Guide</w:t>
        </w:r>
      </w:hyperlink>
    </w:p>
    <w:p w14:paraId="06CBF2E4" w14:textId="77777777" w:rsidR="003F14B9" w:rsidRPr="003F14B9" w:rsidRDefault="003F14B9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9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IoT Users Security Awareness Guide</w:t>
        </w:r>
      </w:hyperlink>
    </w:p>
    <w:p w14:paraId="5931D304" w14:textId="77777777" w:rsidR="003F14B9" w:rsidRPr="003F14B9" w:rsidRDefault="003F14B9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0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Digital Reference Framework for the Water Sector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December 2020</w:t>
      </w:r>
    </w:p>
    <w:p w14:paraId="67793783" w14:textId="77777777" w:rsidR="003F14B9" w:rsidRPr="003F14B9" w:rsidRDefault="003F14B9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Draft code of Practice, </w:t>
      </w:r>
      <w:hyperlink r:id="rId21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Securing the Internet of Things for consumers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22 November 2019</w:t>
      </w:r>
    </w:p>
    <w:p w14:paraId="30538E7B" w14:textId="77777777" w:rsidR="003F14B9" w:rsidRPr="003F14B9" w:rsidRDefault="003F14B9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2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 Reference Framework – v1.31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December 2022</w:t>
      </w:r>
    </w:p>
    <w:p w14:paraId="108DE21F" w14:textId="77777777" w:rsidR="003F14B9" w:rsidRPr="003F14B9" w:rsidRDefault="003F14B9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3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 Reference Framework – Application Guide v1.0, September 2018</w:t>
        </w:r>
      </w:hyperlink>
    </w:p>
    <w:p w14:paraId="2E288625" w14:textId="77777777" w:rsidR="003F14B9" w:rsidRPr="003F14B9" w:rsidRDefault="003F14B9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4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IoTAA_IoT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Platform Selection Guideline V1.1 July 2018</w:t>
        </w:r>
      </w:hyperlink>
    </w:p>
    <w:p w14:paraId="63AF0CD6" w14:textId="77777777" w:rsidR="003F14B9" w:rsidRPr="003F14B9" w:rsidRDefault="003F14B9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5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Good Data Practice- A Guide for B2C IoT Services for Australia, Nov 2017</w:t>
        </w:r>
      </w:hyperlink>
    </w:p>
    <w:p w14:paraId="1A9745D0" w14:textId="77777777" w:rsidR="003F14B9" w:rsidRPr="003F14B9" w:rsidRDefault="003F14B9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6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Security Guideline V1.2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 November 2017</w:t>
      </w:r>
    </w:p>
    <w:p w14:paraId="6C910199" w14:textId="77777777" w:rsidR="00FC353D" w:rsidRDefault="00FC353D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</w:pPr>
    </w:p>
    <w:p w14:paraId="5755FD11" w14:textId="77777777" w:rsidR="00FC353D" w:rsidRDefault="00FC353D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</w:pPr>
    </w:p>
    <w:p w14:paraId="05FCAAC0" w14:textId="11F74D1D" w:rsidR="003F14B9" w:rsidRDefault="003F14B9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</w:pPr>
      <w:r w:rsidRPr="003F14B9"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  <w:lastRenderedPageBreak/>
        <w:t>Input to policy</w:t>
      </w:r>
    </w:p>
    <w:p w14:paraId="0D26DAD3" w14:textId="646AD02E" w:rsidR="00FC353D" w:rsidRPr="003F14B9" w:rsidRDefault="00FC353D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FF0000"/>
          <w:kern w:val="0"/>
          <w:sz w:val="24"/>
          <w:szCs w:val="24"/>
          <w:lang w:eastAsia="en-AU"/>
          <w14:ligatures w14:val="none"/>
        </w:rPr>
      </w:pPr>
      <w:r>
        <w:rPr>
          <w:rFonts w:ascii="Raleway" w:eastAsia="Times New Roman" w:hAnsi="Raleway" w:cs="Times New Roman"/>
          <w:color w:val="FF0000"/>
          <w:kern w:val="0"/>
          <w:sz w:val="24"/>
          <w:szCs w:val="24"/>
          <w:lang w:eastAsia="en-AU"/>
          <w14:ligatures w14:val="none"/>
        </w:rPr>
        <w:t>Add all the following to advocacy in Main</w:t>
      </w:r>
    </w:p>
    <w:p w14:paraId="492F34B5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7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Response to Regional Connectivity Round 2, Release of Draft Program Guidelines, October 2021</w:t>
        </w:r>
      </w:hyperlink>
    </w:p>
    <w:p w14:paraId="3305DCFF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8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Response to Regional Telecoms Review, September 2021</w:t>
        </w:r>
      </w:hyperlink>
    </w:p>
    <w:p w14:paraId="02FBE2EE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9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Response to Strategic Assessment Consultation of the Consumer Data Right (CDR) and its Implementation, September 2021</w:t>
        </w:r>
      </w:hyperlink>
    </w:p>
    <w:p w14:paraId="143D7218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0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Response to Strengthening Australia’s Cyber Security Regulations and Incentives Discussion Paper, August 2021</w:t>
        </w:r>
      </w:hyperlink>
    </w:p>
    <w:p w14:paraId="144ECDF4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1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the Australian Government, Department of Home Affairs – Protecting Critical Infrastructure and Systems of National Significance Consultation Paper Sept 2020</w:t>
        </w:r>
      </w:hyperlink>
    </w:p>
    <w:p w14:paraId="2E3FBBD8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2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Telecommunications Industry Ombudsman Terms of Reference 26 August 2020</w:t>
        </w:r>
      </w:hyperlink>
    </w:p>
    <w:p w14:paraId="5E161BC4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3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to: Department of Home Affairs consultation on: Securing the Internet of Things for Consumers, Draft Code of Practice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06 March 2020</w:t>
      </w:r>
    </w:p>
    <w:p w14:paraId="1134274A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Submission to the House of Representatives </w:t>
      </w:r>
      <w:hyperlink r:id="rId34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5G Enquiry input from </w:t>
        </w:r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Final 1.0 November 1 2019</w:t>
        </w:r>
      </w:hyperlink>
    </w:p>
    <w:p w14:paraId="18D409BE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5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Australia’s 2020 Cyber security strategy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4 November 2019</w:t>
      </w:r>
    </w:p>
    <w:p w14:paraId="198678EB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6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Dept of Industry – Digital Economy – Opening up the Conversation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30 Nov 2017</w:t>
      </w:r>
    </w:p>
    <w:p w14:paraId="56D9A05E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7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Spectrum Reform Final 28July2017</w:t>
        </w:r>
      </w:hyperlink>
    </w:p>
    <w:p w14:paraId="75EA1D8C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8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Inquiry – Australian </w:t>
        </w:r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Governments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Role in the Development of Cities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July 2017</w:t>
      </w:r>
    </w:p>
    <w:p w14:paraId="317C772D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9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– Further submission by </w:t>
        </w:r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Workstream 3 to the Productivity Commission re Data Availability and Use Draft Report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12 December 2016</w:t>
      </w:r>
    </w:p>
    <w:p w14:paraId="0EF4C1CE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40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IoT Alliance </w:t>
        </w:r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Australia_Submission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to ACCC Communications Market Study V1.3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21 Oct, 2016</w:t>
      </w:r>
    </w:p>
    <w:p w14:paraId="5EBBC81D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41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State of the Nation Presentation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s, 6 September 2016</w:t>
      </w:r>
    </w:p>
    <w:p w14:paraId="64F8D6ED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42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Productivity Commission’s Issues Paper on Data Availability &amp; Use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12 August 2016.</w:t>
      </w:r>
    </w:p>
    <w:p w14:paraId="395A2C7F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43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OAIC draft guide on big data and the Australian Privacy Principles</w:t>
        </w:r>
      </w:hyperlink>
      <w:r w:rsidRPr="003F14B9">
        <w:rPr>
          <w:rFonts w:ascii="Open Sans" w:eastAsia="Times New Roman" w:hAnsi="Open Sans" w:cs="Open Sans"/>
          <w:i/>
          <w:iCs/>
          <w:color w:val="5A5D62"/>
          <w:kern w:val="0"/>
          <w:sz w:val="23"/>
          <w:szCs w:val="23"/>
          <w:lang w:eastAsia="en-AU"/>
          <w14:ligatures w14:val="none"/>
        </w:rPr>
        <w:t>, </w:t>
      </w: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26 July 2016</w:t>
      </w:r>
    </w:p>
    <w:p w14:paraId="5369DB47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44" w:history="1"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the Department of Prime Minister &amp; Cabinet: Enabling Smart Cities with IoT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 Final report, June 2016</w:t>
      </w:r>
    </w:p>
    <w:p w14:paraId="62FC9A2E" w14:textId="77777777" w:rsidR="003F14B9" w:rsidRDefault="003F14B9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</w:pPr>
      <w:r w:rsidRPr="003F14B9"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  <w:t>Useful Links</w:t>
      </w:r>
    </w:p>
    <w:p w14:paraId="7EFEC9F8" w14:textId="0CBC56A5" w:rsidR="00FC353D" w:rsidRPr="003F14B9" w:rsidRDefault="00AE6784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FF0000"/>
          <w:kern w:val="0"/>
          <w:sz w:val="24"/>
          <w:szCs w:val="24"/>
          <w:lang w:eastAsia="en-AU"/>
          <w14:ligatures w14:val="none"/>
        </w:rPr>
      </w:pPr>
      <w:r>
        <w:rPr>
          <w:rFonts w:ascii="Raleway" w:eastAsia="Times New Roman" w:hAnsi="Raleway" w:cs="Times New Roman"/>
          <w:color w:val="FF0000"/>
          <w:kern w:val="0"/>
          <w:sz w:val="24"/>
          <w:szCs w:val="24"/>
          <w:lang w:eastAsia="en-AU"/>
          <w14:ligatures w14:val="none"/>
        </w:rPr>
        <w:t>Add to useful links Main</w:t>
      </w:r>
    </w:p>
    <w:p w14:paraId="00ECA4D2" w14:textId="77777777" w:rsidR="003F14B9" w:rsidRPr="003F14B9" w:rsidRDefault="003F14B9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Australian Computer Society Information Age newsletter, </w:t>
      </w:r>
      <w:hyperlink r:id="rId45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ia.acs.org.au</w:t>
        </w:r>
      </w:hyperlink>
    </w:p>
    <w:p w14:paraId="117BD01A" w14:textId="77777777" w:rsidR="003F14B9" w:rsidRPr="003F14B9" w:rsidRDefault="003F14B9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Communications Alliance, </w:t>
      </w:r>
      <w:hyperlink r:id="rId46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commsalliance.com.au</w:t>
        </w:r>
      </w:hyperlink>
    </w:p>
    <w:p w14:paraId="55EB37AF" w14:textId="77777777" w:rsidR="003F14B9" w:rsidRPr="003F14B9" w:rsidRDefault="003F14B9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lastRenderedPageBreak/>
        <w:t>Industrial Internet Consortium, </w:t>
      </w:r>
      <w:hyperlink r:id="rId47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iiconsortium.org</w:t>
        </w:r>
      </w:hyperlink>
    </w:p>
    <w:p w14:paraId="3BC4096E" w14:textId="77777777" w:rsidR="003F14B9" w:rsidRPr="003F14B9" w:rsidRDefault="003F14B9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proofErr w:type="spellStart"/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Industrie</w:t>
      </w:r>
      <w:proofErr w:type="spellEnd"/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4 in Germany, </w:t>
      </w:r>
      <w:hyperlink r:id="rId48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platformi-40.de</w:t>
        </w:r>
      </w:hyperlink>
    </w:p>
    <w:p w14:paraId="2172B322" w14:textId="77777777" w:rsidR="003F14B9" w:rsidRPr="003F14B9" w:rsidRDefault="003F14B9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IOT Hub – connecting you to the internet of things, </w:t>
      </w:r>
      <w:hyperlink r:id="rId49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iothub.com.au</w:t>
        </w:r>
      </w:hyperlink>
    </w:p>
    <w:p w14:paraId="173F2F8C" w14:textId="77777777" w:rsidR="003F14B9" w:rsidRDefault="003F14B9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ITU’s Smart Sustainable Cities, </w:t>
      </w:r>
      <w:hyperlink r:id="rId50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itu.int/</w:t>
        </w:r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eu</w:t>
        </w:r>
        <w:proofErr w:type="spellEnd"/>
      </w:hyperlink>
    </w:p>
    <w:p w14:paraId="4300881E" w14:textId="51542A67" w:rsidR="00FC353D" w:rsidRPr="003F14B9" w:rsidRDefault="00FC353D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FC353D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IoT Analytics</w:t>
      </w:r>
      <w:r w:rsidRPr="00FC353D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Pr="00FC353D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https://iot-analytics.com/</w:t>
      </w:r>
    </w:p>
    <w:p w14:paraId="41DCF444" w14:textId="77777777" w:rsidR="003913A0" w:rsidRDefault="003913A0"/>
    <w:sectPr w:rsidR="0039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0122"/>
    <w:multiLevelType w:val="multilevel"/>
    <w:tmpl w:val="27B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E1046"/>
    <w:multiLevelType w:val="multilevel"/>
    <w:tmpl w:val="07FE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95710"/>
    <w:multiLevelType w:val="multilevel"/>
    <w:tmpl w:val="787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1004F"/>
    <w:multiLevelType w:val="multilevel"/>
    <w:tmpl w:val="2386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35C99"/>
    <w:multiLevelType w:val="multilevel"/>
    <w:tmpl w:val="44D4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915674">
    <w:abstractNumId w:val="0"/>
  </w:num>
  <w:num w:numId="2" w16cid:durableId="306668419">
    <w:abstractNumId w:val="1"/>
  </w:num>
  <w:num w:numId="3" w16cid:durableId="2020691655">
    <w:abstractNumId w:val="3"/>
  </w:num>
  <w:num w:numId="4" w16cid:durableId="1221213701">
    <w:abstractNumId w:val="2"/>
  </w:num>
  <w:num w:numId="5" w16cid:durableId="574168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B9"/>
    <w:rsid w:val="00097692"/>
    <w:rsid w:val="003913A0"/>
    <w:rsid w:val="003F14B9"/>
    <w:rsid w:val="00792546"/>
    <w:rsid w:val="008E5D2A"/>
    <w:rsid w:val="00AE6784"/>
    <w:rsid w:val="00CA1CAA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130F"/>
  <w15:chartTrackingRefBased/>
  <w15:docId w15:val="{BBCA4F9B-E9D4-4067-A5BF-2FD90FE4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ot.org.au/wp/wp-content/uploads/2016/12/Seizing-the-Internet-of-Things-Opportunity-for-Australia.pdf" TargetMode="External"/><Relationship Id="rId18" Type="http://schemas.openxmlformats.org/officeDocument/2006/relationships/hyperlink" Target="https://iot.org.au/wp/wp-content/uploads/2021/02/IoTAA-IoT-Providers-Security-Awareness-Guide.pdf" TargetMode="External"/><Relationship Id="rId26" Type="http://schemas.openxmlformats.org/officeDocument/2006/relationships/hyperlink" Target="http://www.iot.org.au/wp/wp-content/uploads/2016/12/IoTAA-Security-Guideline-V1.2.pdf" TargetMode="External"/><Relationship Id="rId39" Type="http://schemas.openxmlformats.org/officeDocument/2006/relationships/hyperlink" Target="http://www.iot.org.au/wp/wp-content/uploads/2016/12/IoTAA-Further-submission-by-IoTAA-Workstream-3-to-the-Productivity-Commission-re-Data-Availability-and-Use-Draft-Report-121216-WorkSite-.pdf" TargetMode="External"/><Relationship Id="rId21" Type="http://schemas.openxmlformats.org/officeDocument/2006/relationships/hyperlink" Target="http://www.iot.org.au/wp/wp-content/uploads/2019/11/19.11.2019-DRAFT-Voluntary-Internet-of-Things-Code-Of-Practice.pdf" TargetMode="External"/><Relationship Id="rId34" Type="http://schemas.openxmlformats.org/officeDocument/2006/relationships/hyperlink" Target="http://www.iot.org.au/wp/wp-content/uploads/2019/12/5G-Enquiry-input-from-IoTAA-Final-1.0-November-1-2019.pdf" TargetMode="External"/><Relationship Id="rId42" Type="http://schemas.openxmlformats.org/officeDocument/2006/relationships/hyperlink" Target="http://www.iot.org.au/wp/wp-content/uploads/2016/12/IoTAAProductivityCommissionData....pdf" TargetMode="External"/><Relationship Id="rId47" Type="http://schemas.openxmlformats.org/officeDocument/2006/relationships/hyperlink" Target="https://iiconsortium.org/" TargetMode="External"/><Relationship Id="rId50" Type="http://schemas.openxmlformats.org/officeDocument/2006/relationships/hyperlink" Target="https://itu.int/en/ITU-T/ssc/united/Pages/default.aspx" TargetMode="External"/><Relationship Id="rId7" Type="http://schemas.openxmlformats.org/officeDocument/2006/relationships/hyperlink" Target="http://www.iot.org.au/wp/wp-content/uploads/2020/06/Industry-renewal-through-digital-infrastructure-InnovationAus-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ot.org.au/wp/wp-content/uploads/2016/12/EnablingtheInternetofThingsforAustralia_PublicationVersion.pdf" TargetMode="External"/><Relationship Id="rId29" Type="http://schemas.openxmlformats.org/officeDocument/2006/relationships/hyperlink" Target="https://iot.org.au/wp/wp-content/uploads/2021/11/IoTAA-Response-to-Strategic-Assessment-Consultation-of-the-Consumer-Data-Right-CDR-and-its-Implementation-LH-edits-02.09.21.pdf" TargetMode="External"/><Relationship Id="rId11" Type="http://schemas.openxmlformats.org/officeDocument/2006/relationships/hyperlink" Target="http://www.iot.org.au/wp/wp-content/uploads/2016/12/GDPR-a-guide-for-Australian-businesses.pdf" TargetMode="External"/><Relationship Id="rId24" Type="http://schemas.openxmlformats.org/officeDocument/2006/relationships/hyperlink" Target="http://www.iot.org.au/wp/wp-content/uploads/2016/12/IoTAA_IoT-Platform-Selection-Guideline-V1.1-July-2018.pdf" TargetMode="External"/><Relationship Id="rId32" Type="http://schemas.openxmlformats.org/officeDocument/2006/relationships/hyperlink" Target="https://iot.org.au/wp/wp-content/uploads/2020/08/IoTAA-submission-to-Telecommunications-Industry-Ombudsman-Terms-of-Reference-26-August-2020.pdf" TargetMode="External"/><Relationship Id="rId37" Type="http://schemas.openxmlformats.org/officeDocument/2006/relationships/hyperlink" Target="http://www.iot.org.au/wp/wp-content/uploads/2016/12/IoTAA-Submission-Spectrum-Reform-Final-28July2017.pdf" TargetMode="External"/><Relationship Id="rId40" Type="http://schemas.openxmlformats.org/officeDocument/2006/relationships/hyperlink" Target="http://www.iot.org.au/wp/wp-content/uploads/2016/12/211016_IoT-Alliance-Australia_Submission-to-ACCC-Communications-Market-Study-V1.3.pdf" TargetMode="External"/><Relationship Id="rId45" Type="http://schemas.openxmlformats.org/officeDocument/2006/relationships/hyperlink" Target="https://ia.acs.org.au/" TargetMode="External"/><Relationship Id="rId5" Type="http://schemas.openxmlformats.org/officeDocument/2006/relationships/hyperlink" Target="https://iot.org.au/wp/wp-content/uploads/2020/08/IoTAA_WSAA_Veolia_SWARM_Buoy_Case_Study_07.2020.pdf" TargetMode="External"/><Relationship Id="rId15" Type="http://schemas.openxmlformats.org/officeDocument/2006/relationships/hyperlink" Target="https://manda-mckernan.squarespace.com/s/IoT-Spectrum-Fact-Sheet.docx" TargetMode="External"/><Relationship Id="rId23" Type="http://schemas.openxmlformats.org/officeDocument/2006/relationships/hyperlink" Target="http://www.iot.org.au/wp/wp-content/uploads/2016/12/IoT-Reference-Framework-Application-Guide-v1.0.pdf" TargetMode="External"/><Relationship Id="rId28" Type="http://schemas.openxmlformats.org/officeDocument/2006/relationships/hyperlink" Target="https://iot.org.au/wp/wp-content/uploads/2021/11/IoTAA_Response_to_Regional_Telecoms_Review_September_2021_Final.01.pdf" TargetMode="External"/><Relationship Id="rId36" Type="http://schemas.openxmlformats.org/officeDocument/2006/relationships/hyperlink" Target="http://www.iot.org.au/wp/wp-content/uploads/2016/12/IoTAA-submission-to-Dept-of-Industry-Digital-Economy-Opening-up-the-Conversation.pdf" TargetMode="External"/><Relationship Id="rId49" Type="http://schemas.openxmlformats.org/officeDocument/2006/relationships/hyperlink" Target="https://iothub.com.au/" TargetMode="External"/><Relationship Id="rId10" Type="http://schemas.openxmlformats.org/officeDocument/2006/relationships/hyperlink" Target="http://www.iot.org.au/wp/wp-content/uploads/2016/12/Peter-Leonard-Is-Data-Your-Best-Asset-You-Never-Owned-23-August-2018.pdf" TargetMode="External"/><Relationship Id="rId19" Type="http://schemas.openxmlformats.org/officeDocument/2006/relationships/hyperlink" Target="https://iot.org.au/wp/wp-content/uploads/2021/02/IoTAA-IoT-Users-Security-Awareness-Guide.pdf" TargetMode="External"/><Relationship Id="rId31" Type="http://schemas.openxmlformats.org/officeDocument/2006/relationships/hyperlink" Target="https://iot.org.au/wp/wp-content/uploads/2020/09/IoTAA-Submission-CI-and-SoNS-Consultation-Aug-Final.pdf" TargetMode="External"/><Relationship Id="rId44" Type="http://schemas.openxmlformats.org/officeDocument/2006/relationships/hyperlink" Target="http://www.iot.org.au/wp/wp-content/uploads/2016/12/IoTAA_EnablingSmartCitieswithIoTFinal.pdf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ot.org.au/wp/wp-content/uploads/2016/12/Social-Licence-and-digital-trust-the-problem-statement-5-October-2018.pdf" TargetMode="External"/><Relationship Id="rId14" Type="http://schemas.openxmlformats.org/officeDocument/2006/relationships/hyperlink" Target="http://www.iot.org.au/wp/wp-content/uploads/2016/12/IoTSpectrumFactSheet.pdf" TargetMode="External"/><Relationship Id="rId22" Type="http://schemas.openxmlformats.org/officeDocument/2006/relationships/hyperlink" Target="https://iotalliance-my.sharepoint.com/:p:/g/personal/navin_k_iot_org_au/ERU4X2rtbB1FigpUt3DzTaEBBEwJwyZmWD8B09MM4KiRIQ?e=hLYKKm" TargetMode="External"/><Relationship Id="rId27" Type="http://schemas.openxmlformats.org/officeDocument/2006/relationships/hyperlink" Target="https://iot.org.au/wp/wp-content/uploads/2021/11/IoTAA_Response_to_design_of_the_regional_Connectivity_Program_Round_2_Grant_Opportunity_Draft_Guidelines_Final.pdf" TargetMode="External"/><Relationship Id="rId30" Type="http://schemas.openxmlformats.org/officeDocument/2006/relationships/hyperlink" Target="https://iot.org.au/wp/wp-content/uploads/2021/11/IoTAA-Response-to-Strengthening-Australias-Cyber-Security-Regulations-and-Incentives-Discussion-Paper.pdf" TargetMode="External"/><Relationship Id="rId35" Type="http://schemas.openxmlformats.org/officeDocument/2006/relationships/hyperlink" Target="http://www.iot.org.au/wp/wp-content/uploads/2019/11/IoTAA-Submission-to-Australias-2020-Cyber-Security-Strategy-1.pdf" TargetMode="External"/><Relationship Id="rId43" Type="http://schemas.openxmlformats.org/officeDocument/2006/relationships/hyperlink" Target="http://www.iot.org.au/wp/wp-content/uploads/2016/12/26072016_IoTAllianceAustralia_SubmissiontoOAICdraftGuideonBigData....pdf" TargetMode="External"/><Relationship Id="rId48" Type="http://schemas.openxmlformats.org/officeDocument/2006/relationships/hyperlink" Target="https://plattform-i40.de/I40/Navigation/DE/Home/home.html" TargetMode="External"/><Relationship Id="rId8" Type="http://schemas.openxmlformats.org/officeDocument/2006/relationships/hyperlink" Target="http://www.iot.org.au/wp/wp-content/uploads/2016/12/IoT-who-stops-Dr-Jekyll-from-becoming-Mr-Hyde-1.pdf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iot.org.au/wp/wp-content/uploads/2016/12/IoTAA-Strategic-Plan-to-Strengthen-IoT-Security-in-Australia-v4.pdf" TargetMode="External"/><Relationship Id="rId17" Type="http://schemas.openxmlformats.org/officeDocument/2006/relationships/hyperlink" Target="https://iot.org.au/wp/wp-content/uploads/2022/08/Interoperability-By-Design-V1-July-2022-1.pdf" TargetMode="External"/><Relationship Id="rId25" Type="http://schemas.openxmlformats.org/officeDocument/2006/relationships/hyperlink" Target="http://www.iot.org.au/wp/wp-content/uploads/2016/12/Good-Data-Practice-A-Guide-for-B2C-IoT-Services-for-Australia-Nov-2017.pdf" TargetMode="External"/><Relationship Id="rId33" Type="http://schemas.openxmlformats.org/officeDocument/2006/relationships/hyperlink" Target="http://www.iot.org.au/wp/wp-content/uploads/2020/03/IoTAA-Submission-to-IoT-Security-Code-of-Practice-1-Mar-2020-Final.pdf" TargetMode="External"/><Relationship Id="rId38" Type="http://schemas.openxmlformats.org/officeDocument/2006/relationships/hyperlink" Target="http://www.iot.org.au/wp/wp-content/uploads/2016/12/IoTAA-Submission-to-Inquiry-Australian-Government27s-Role-in-the-Development-of-Cities.pdf" TargetMode="External"/><Relationship Id="rId46" Type="http://schemas.openxmlformats.org/officeDocument/2006/relationships/hyperlink" Target="https://commsalliance.com.au/" TargetMode="External"/><Relationship Id="rId20" Type="http://schemas.openxmlformats.org/officeDocument/2006/relationships/hyperlink" Target="https://iot.org.au/wp/wp-content/uploads/2021/03/Digital-Reference-Framework-for-the-Water-Sector.pdf" TargetMode="External"/><Relationship Id="rId41" Type="http://schemas.openxmlformats.org/officeDocument/2006/relationships/hyperlink" Target="http://www.iot.org.au/wp/wp-content/uploads/2016/12/IoTAA-State-of-the-Nation-Presentation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ot.org.au/wp/wp-content/uploads/2020/07/NTC-Discussion-Paper-Government-access-to-vehicle-generated-data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Karunatilaka</dc:creator>
  <cp:keywords/>
  <dc:description/>
  <cp:lastModifiedBy>Navin Karunatilaka</cp:lastModifiedBy>
  <cp:revision>1</cp:revision>
  <dcterms:created xsi:type="dcterms:W3CDTF">2023-11-02T23:54:00Z</dcterms:created>
  <dcterms:modified xsi:type="dcterms:W3CDTF">2023-11-03T02:27:00Z</dcterms:modified>
</cp:coreProperties>
</file>