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489063117"/>
        <w:docPartObj>
          <w:docPartGallery w:val="Cover Pages"/>
          <w:docPartUnique/>
        </w:docPartObj>
      </w:sdtPr>
      <w:sdtEndPr>
        <w:rPr>
          <w:bCs/>
          <w:spacing w:val="-10"/>
          <w:kern w:val="28"/>
          <w:sz w:val="40"/>
          <w:szCs w:val="40"/>
        </w:rPr>
      </w:sdtEndPr>
      <w:sdtContent>
        <w:p w14:paraId="1FE3E461" w14:textId="7449D882" w:rsidR="00281A10" w:rsidRDefault="00281A10" w:rsidP="00AD11A7">
          <w:pPr>
            <w:jc w:val="right"/>
          </w:pPr>
          <w:r w:rsidRPr="00AD11A7">
            <w:rPr>
              <w:noProof/>
              <w:lang w:val="en-US"/>
            </w:rPr>
            <w:drawing>
              <wp:inline distT="0" distB="0" distL="0" distR="0" wp14:anchorId="5B111C48" wp14:editId="3A76E2FE">
                <wp:extent cx="1850528" cy="936000"/>
                <wp:effectExtent l="0" t="0" r="0" b="0"/>
                <wp:docPr id="2257" name="Picture 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Picture 225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528" cy="936000"/>
                        </a:xfrm>
                        <a:prstGeom prst="rect">
                          <a:avLst/>
                        </a:prstGeom>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81A10" w14:paraId="65D7DB66" w14:textId="77777777">
            <w:tc>
              <w:tcPr>
                <w:tcW w:w="7672" w:type="dxa"/>
                <w:tcMar>
                  <w:top w:w="216" w:type="dxa"/>
                  <w:left w:w="115" w:type="dxa"/>
                  <w:bottom w:w="216" w:type="dxa"/>
                  <w:right w:w="115" w:type="dxa"/>
                </w:tcMar>
              </w:tcPr>
              <w:p w14:paraId="04BD1B95" w14:textId="28120EFC" w:rsidR="00281A10" w:rsidRDefault="00281A10" w:rsidP="00281A10">
                <w:pPr>
                  <w:pStyle w:val="NoSpacing"/>
                  <w:rPr>
                    <w:color w:val="2F5496" w:themeColor="accent1" w:themeShade="BF"/>
                    <w:sz w:val="24"/>
                  </w:rPr>
                </w:pPr>
              </w:p>
            </w:tc>
          </w:tr>
          <w:tr w:rsidR="00281A10" w14:paraId="5BFBF493" w14:textId="77777777">
            <w:tc>
              <w:tcPr>
                <w:tcW w:w="7672" w:type="dxa"/>
              </w:tcPr>
              <w:sdt>
                <w:sdtPr>
                  <w:rPr>
                    <w:sz w:val="40"/>
                    <w:szCs w:val="40"/>
                  </w:rPr>
                  <w:alias w:val="Title"/>
                  <w:id w:val="13406919"/>
                  <w:placeholder>
                    <w:docPart w:val="184BE6C749044B24B649B646D34F3767"/>
                  </w:placeholder>
                  <w:dataBinding w:prefixMappings="xmlns:ns0='http://schemas.openxmlformats.org/package/2006/metadata/core-properties' xmlns:ns1='http://purl.org/dc/elements/1.1/'" w:xpath="/ns0:coreProperties[1]/ns1:title[1]" w:storeItemID="{6C3C8BC8-F283-45AE-878A-BAB7291924A1}"/>
                  <w:text/>
                </w:sdtPr>
                <w:sdtEndPr/>
                <w:sdtContent>
                  <w:p w14:paraId="2508C1B5" w14:textId="17A3416B" w:rsidR="00281A10" w:rsidRDefault="00C33C6C">
                    <w:pPr>
                      <w:pStyle w:val="NoSpacing"/>
                      <w:spacing w:line="216" w:lineRule="auto"/>
                      <w:rPr>
                        <w:rFonts w:asciiTheme="majorHAnsi" w:eastAsiaTheme="majorEastAsia" w:hAnsiTheme="majorHAnsi" w:cstheme="majorBidi"/>
                        <w:color w:val="4472C4" w:themeColor="accent1"/>
                        <w:sz w:val="88"/>
                        <w:szCs w:val="88"/>
                      </w:rPr>
                    </w:pPr>
                    <w:r>
                      <w:rPr>
                        <w:sz w:val="40"/>
                        <w:szCs w:val="40"/>
                      </w:rPr>
                      <w:t xml:space="preserve">Response to Strategic Assessment Consultation of the Consumer Data Right (CDR) and its </w:t>
                    </w:r>
                    <w:r w:rsidR="005B6696">
                      <w:rPr>
                        <w:sz w:val="40"/>
                        <w:szCs w:val="40"/>
                      </w:rPr>
                      <w:t>I</w:t>
                    </w:r>
                    <w:r>
                      <w:rPr>
                        <w:sz w:val="40"/>
                        <w:szCs w:val="40"/>
                      </w:rPr>
                      <w:t>mplementation</w:t>
                    </w:r>
                  </w:p>
                </w:sdtContent>
              </w:sdt>
            </w:tc>
          </w:tr>
          <w:tr w:rsidR="00281A10" w14:paraId="6DF8B7DB" w14:textId="77777777">
            <w:tc>
              <w:tcPr>
                <w:tcW w:w="7672" w:type="dxa"/>
                <w:tcMar>
                  <w:top w:w="216" w:type="dxa"/>
                  <w:left w:w="115" w:type="dxa"/>
                  <w:bottom w:w="216" w:type="dxa"/>
                  <w:right w:w="115" w:type="dxa"/>
                </w:tcMar>
              </w:tcPr>
              <w:p w14:paraId="6BE2919A" w14:textId="4951E665" w:rsidR="00281A10" w:rsidRDefault="00281A1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81A10" w14:paraId="018D90EF" w14:textId="77777777">
            <w:tc>
              <w:tcPr>
                <w:tcW w:w="7221" w:type="dxa"/>
                <w:tcMar>
                  <w:top w:w="216" w:type="dxa"/>
                  <w:left w:w="115" w:type="dxa"/>
                  <w:bottom w:w="216" w:type="dxa"/>
                  <w:right w:w="115" w:type="dxa"/>
                </w:tcMar>
              </w:tcPr>
              <w:p w14:paraId="23167080" w14:textId="77777777" w:rsidR="00CB5552" w:rsidRPr="00EB5592" w:rsidRDefault="00CB5552" w:rsidP="00CB5552">
                <w:pPr>
                  <w:pStyle w:val="NoSpacing"/>
                  <w:rPr>
                    <w:b/>
                    <w:bCs/>
                  </w:rPr>
                </w:pPr>
                <w:r w:rsidRPr="00EB5592">
                  <w:rPr>
                    <w:b/>
                    <w:bCs/>
                  </w:rPr>
                  <w:t xml:space="preserve">Submitted by: </w:t>
                </w:r>
                <w:r w:rsidRPr="00EB5592">
                  <w:t>Frank Zeichner, CEO, Internet of Things Alliance Australia</w:t>
                </w:r>
              </w:p>
              <w:p w14:paraId="2EE6A0E3" w14:textId="77777777" w:rsidR="00CB5552" w:rsidRPr="00EB5592" w:rsidRDefault="00CB5552" w:rsidP="00CB5552">
                <w:pPr>
                  <w:pStyle w:val="NoSpacing"/>
                  <w:rPr>
                    <w:b/>
                    <w:bCs/>
                  </w:rPr>
                </w:pPr>
                <w:r w:rsidRPr="00EB5592">
                  <w:rPr>
                    <w:b/>
                    <w:bCs/>
                  </w:rPr>
                  <w:t xml:space="preserve">Email:  </w:t>
                </w:r>
                <w:hyperlink r:id="rId12" w:history="1">
                  <w:r w:rsidRPr="00EB5592">
                    <w:rPr>
                      <w:rStyle w:val="Hyperlink"/>
                    </w:rPr>
                    <w:t>frank.zeichner@iot.org.au</w:t>
                  </w:r>
                </w:hyperlink>
              </w:p>
              <w:p w14:paraId="1850AD4E" w14:textId="77777777" w:rsidR="00281A10" w:rsidRDefault="00CB5552">
                <w:pPr>
                  <w:pStyle w:val="NoSpacing"/>
                  <w:rPr>
                    <w:lang w:eastAsia="en-AU"/>
                  </w:rPr>
                </w:pPr>
                <w:r w:rsidRPr="00EB5592">
                  <w:rPr>
                    <w:b/>
                    <w:bCs/>
                  </w:rPr>
                  <w:t xml:space="preserve">Phone: </w:t>
                </w:r>
                <w:r w:rsidRPr="00EB5592">
                  <w:rPr>
                    <w:b/>
                    <w:bCs/>
                    <w:lang w:eastAsia="en-AU"/>
                  </w:rPr>
                  <w:t xml:space="preserve"> </w:t>
                </w:r>
                <w:r>
                  <w:rPr>
                    <w:lang w:eastAsia="en-AU"/>
                  </w:rPr>
                  <w:t>0</w:t>
                </w:r>
                <w:r w:rsidRPr="00EB5592">
                  <w:rPr>
                    <w:lang w:eastAsia="en-AU"/>
                  </w:rPr>
                  <w:t>408 233 762</w:t>
                </w:r>
              </w:p>
              <w:p w14:paraId="2293220A" w14:textId="7B3ED313" w:rsidR="00FC5FBB" w:rsidRPr="00FC5FBB" w:rsidRDefault="00FC5FBB">
                <w:pPr>
                  <w:pStyle w:val="NoSpacing"/>
                  <w:rPr>
                    <w:b/>
                    <w:bCs/>
                  </w:rPr>
                </w:pPr>
                <w:r>
                  <w:rPr>
                    <w:b/>
                    <w:bCs/>
                  </w:rPr>
                  <w:t>Date of submission</w:t>
                </w:r>
                <w:r w:rsidRPr="00871FF2">
                  <w:t xml:space="preserve">: </w:t>
                </w:r>
                <w:r w:rsidR="00871FF2" w:rsidRPr="00871FF2">
                  <w:t>3 September 2021</w:t>
                </w:r>
              </w:p>
            </w:tc>
          </w:tr>
        </w:tbl>
        <w:p w14:paraId="2BA7619F" w14:textId="77777777" w:rsidR="00C8520E" w:rsidRDefault="00281A10" w:rsidP="00C8520E">
          <w:pPr>
            <w:pStyle w:val="Heading1"/>
            <w:spacing w:before="0" w:after="240"/>
            <w:rPr>
              <w:bCs/>
              <w:spacing w:val="-10"/>
              <w:kern w:val="28"/>
              <w:sz w:val="40"/>
              <w:szCs w:val="40"/>
            </w:rPr>
          </w:pPr>
          <w:r>
            <w:br w:type="page"/>
          </w:r>
        </w:p>
      </w:sdtContent>
    </w:sdt>
    <w:p w14:paraId="4EEE909B" w14:textId="53D4F427" w:rsidR="00B83E3B" w:rsidRPr="00C8520E" w:rsidRDefault="008C0A82" w:rsidP="00C8520E">
      <w:pPr>
        <w:pStyle w:val="Heading1"/>
        <w:spacing w:before="0" w:after="240"/>
        <w:rPr>
          <w:sz w:val="40"/>
          <w:szCs w:val="40"/>
        </w:rPr>
      </w:pPr>
      <w:r w:rsidRPr="00C8520E">
        <w:rPr>
          <w:sz w:val="40"/>
          <w:szCs w:val="40"/>
        </w:rPr>
        <w:lastRenderedPageBreak/>
        <w:t>Introduction</w:t>
      </w:r>
    </w:p>
    <w:p w14:paraId="1BC3CD23" w14:textId="77777777" w:rsidR="00065008" w:rsidRDefault="00065008" w:rsidP="00065008">
      <w:pPr>
        <w:tabs>
          <w:tab w:val="left" w:pos="6804"/>
        </w:tabs>
        <w:jc w:val="both"/>
        <w:rPr>
          <w:rFonts w:cstheme="minorHAnsi"/>
        </w:rPr>
      </w:pPr>
      <w:r w:rsidRPr="00473B07">
        <w:rPr>
          <w:rFonts w:cstheme="minorHAnsi"/>
          <w:b/>
          <w:bCs/>
        </w:rPr>
        <w:t>IoT Alliance Australia (IoTAA)</w:t>
      </w:r>
      <w:r w:rsidRPr="00473B07">
        <w:rPr>
          <w:rFonts w:cstheme="minorHAnsi"/>
        </w:rPr>
        <w:t xml:space="preserve"> is the peak </w:t>
      </w:r>
      <w:r>
        <w:rPr>
          <w:rFonts w:cstheme="minorHAnsi"/>
        </w:rPr>
        <w:t>Australian IoT i</w:t>
      </w:r>
      <w:r w:rsidRPr="00473B07">
        <w:rPr>
          <w:rFonts w:cstheme="minorHAnsi"/>
        </w:rPr>
        <w:t>ndustry body</w:t>
      </w:r>
      <w:r>
        <w:rPr>
          <w:rFonts w:cstheme="minorHAnsi"/>
        </w:rPr>
        <w:t xml:space="preserve"> with</w:t>
      </w:r>
      <w:r w:rsidRPr="00473B07">
        <w:rPr>
          <w:rFonts w:cstheme="minorHAnsi"/>
          <w:shd w:val="clear" w:color="auto" w:fill="FFFFFF"/>
        </w:rPr>
        <w:t xml:space="preserve"> over 500 participating organisations and 1000 individual participants working across 12 workstreams. </w:t>
      </w:r>
      <w:r>
        <w:rPr>
          <w:rFonts w:cstheme="minorHAnsi"/>
          <w:shd w:val="clear" w:color="auto" w:fill="FFFFFF"/>
        </w:rPr>
        <w:t xml:space="preserve">We </w:t>
      </w:r>
      <w:r>
        <w:rPr>
          <w:rFonts w:cstheme="minorHAnsi"/>
        </w:rPr>
        <w:t xml:space="preserve">address deployment and uses of </w:t>
      </w:r>
      <w:r w:rsidRPr="00473B07">
        <w:rPr>
          <w:rFonts w:cstheme="minorHAnsi"/>
        </w:rPr>
        <w:t xml:space="preserve">Internet of Things (IoT) </w:t>
      </w:r>
      <w:r>
        <w:rPr>
          <w:rFonts w:cstheme="minorHAnsi"/>
        </w:rPr>
        <w:t xml:space="preserve">devices and services </w:t>
      </w:r>
      <w:r w:rsidRPr="00473B07">
        <w:rPr>
          <w:rFonts w:cstheme="minorHAnsi"/>
        </w:rPr>
        <w:t>in Australia</w:t>
      </w:r>
      <w:r>
        <w:rPr>
          <w:rFonts w:cstheme="minorHAnsi"/>
        </w:rPr>
        <w:t>. Our mission is t</w:t>
      </w:r>
      <w:r w:rsidRPr="00C458AA">
        <w:rPr>
          <w:rFonts w:cstheme="minorHAnsi"/>
        </w:rPr>
        <w:t>o accelerate the adoption of IoT in Australia to improve our competitive advantage and benefit society</w:t>
      </w:r>
      <w:r>
        <w:rPr>
          <w:rFonts w:cstheme="minorHAnsi"/>
        </w:rPr>
        <w:t>.</w:t>
      </w:r>
    </w:p>
    <w:p w14:paraId="1B4ECC25" w14:textId="6713163A" w:rsidR="00BC54BA" w:rsidRDefault="00065008" w:rsidP="00065008">
      <w:pPr>
        <w:tabs>
          <w:tab w:val="left" w:pos="6804"/>
        </w:tabs>
        <w:jc w:val="both"/>
      </w:pPr>
      <w:r>
        <w:rPr>
          <w:rFonts w:cstheme="minorHAnsi"/>
        </w:rPr>
        <w:t xml:space="preserve">IoTAA welcomes this opportunity </w:t>
      </w:r>
      <w:r w:rsidR="00BC54BA">
        <w:t xml:space="preserve">to contribute to the Strategic Assessment of the Consumer Data Right (CDR) and its implementation. </w:t>
      </w:r>
    </w:p>
    <w:p w14:paraId="16F21F34" w14:textId="57644B46" w:rsidR="004E5450" w:rsidRDefault="004E5450" w:rsidP="004E5450">
      <w:pPr>
        <w:tabs>
          <w:tab w:val="left" w:pos="6804"/>
        </w:tabs>
        <w:jc w:val="both"/>
      </w:pPr>
      <w:r>
        <w:t xml:space="preserve">IoTAA expects that IoT </w:t>
      </w:r>
      <w:r w:rsidR="00585953">
        <w:t xml:space="preserve">adoption </w:t>
      </w:r>
      <w:r>
        <w:t xml:space="preserve">will result in massive growth of </w:t>
      </w:r>
      <w:r w:rsidR="00486640">
        <w:t xml:space="preserve">IoT generated </w:t>
      </w:r>
      <w:r w:rsidRPr="007645CC">
        <w:t>data</w:t>
      </w:r>
      <w:r>
        <w:t xml:space="preserve">, including </w:t>
      </w:r>
      <w:r w:rsidR="00486640">
        <w:t>data related to consumers</w:t>
      </w:r>
      <w:r>
        <w:t>. Data generated from IoT will cover the widest possible range of cases relating to consumers, including use of energy, water, security, access, telecoms, home automation etc. This promises great consumer benefits and will likely encourage new and innovative business models. Alongside these benefits there are risks of unintended uses of consumer data and consumer service lock-in through, for example</w:t>
      </w:r>
      <w:r w:rsidR="00AC026E">
        <w:t>,</w:t>
      </w:r>
      <w:r>
        <w:t xml:space="preserve"> complex service models or consumer</w:t>
      </w:r>
      <w:r w:rsidR="00AC026E">
        <w:t xml:space="preserve"> lack of</w:t>
      </w:r>
      <w:r>
        <w:t xml:space="preserve"> unaware</w:t>
      </w:r>
      <w:r w:rsidR="00AC026E">
        <w:t>ness</w:t>
      </w:r>
      <w:r>
        <w:t xml:space="preserve"> of what data is being automatically collected and shared.</w:t>
      </w:r>
    </w:p>
    <w:p w14:paraId="61A3C76F" w14:textId="550AE5F0" w:rsidR="004E5450" w:rsidRPr="00486640" w:rsidRDefault="004E5450" w:rsidP="004E5450">
      <w:pPr>
        <w:tabs>
          <w:tab w:val="left" w:pos="6804"/>
        </w:tabs>
        <w:jc w:val="both"/>
        <w:rPr>
          <w:color w:val="FF0000"/>
        </w:rPr>
      </w:pPr>
      <w:r>
        <w:t xml:space="preserve">Moreover, we see the </w:t>
      </w:r>
      <w:r w:rsidR="00AC026E">
        <w:t>significant</w:t>
      </w:r>
      <w:r>
        <w:t xml:space="preserve"> increase in consumer generated data as continuing the shift that has </w:t>
      </w:r>
      <w:r w:rsidR="00486640">
        <w:t xml:space="preserve">already </w:t>
      </w:r>
      <w:r>
        <w:t>occurred between governments as data collectors and the private sector</w:t>
      </w:r>
      <w:r w:rsidR="00D74AD8">
        <w:t>. This</w:t>
      </w:r>
      <w:r>
        <w:t xml:space="preserve"> was identified by the Productivity Commission report on </w:t>
      </w:r>
      <w:r>
        <w:rPr>
          <w:rStyle w:val="Emphasis"/>
        </w:rPr>
        <w:t>Availability and Use of Data</w:t>
      </w:r>
      <w:r>
        <w:t xml:space="preserve"> in March 2017. </w:t>
      </w:r>
    </w:p>
    <w:p w14:paraId="34244041" w14:textId="77777777" w:rsidR="00F12D62" w:rsidRDefault="004E5450" w:rsidP="004E5450">
      <w:pPr>
        <w:tabs>
          <w:tab w:val="left" w:pos="6804"/>
        </w:tabs>
        <w:jc w:val="both"/>
      </w:pPr>
      <w:r w:rsidRPr="003270AC">
        <w:t>IoTAA welcomes ongoing and active Strategic Assessment of the application of CDR across sectors and datasets across the economy</w:t>
      </w:r>
      <w:r w:rsidR="00825FCF">
        <w:t>,</w:t>
      </w:r>
      <w:r w:rsidRPr="003270AC">
        <w:t xml:space="preserve"> </w:t>
      </w:r>
      <w:r w:rsidR="00825FCF">
        <w:t>as well as</w:t>
      </w:r>
      <w:r w:rsidRPr="003270AC">
        <w:t xml:space="preserve"> how the CDR should be implemented across different parts of </w:t>
      </w:r>
      <w:r w:rsidR="003270AC" w:rsidRPr="003270AC">
        <w:t xml:space="preserve">the </w:t>
      </w:r>
      <w:r w:rsidRPr="003270AC">
        <w:t xml:space="preserve">economy </w:t>
      </w:r>
      <w:proofErr w:type="gramStart"/>
      <w:r w:rsidR="003270AC" w:rsidRPr="003270AC">
        <w:t>with</w:t>
      </w:r>
      <w:r w:rsidRPr="003270AC">
        <w:t xml:space="preserve"> regard to</w:t>
      </w:r>
      <w:proofErr w:type="gramEnd"/>
      <w:r w:rsidRPr="003270AC">
        <w:t xml:space="preserve"> </w:t>
      </w:r>
      <w:r w:rsidR="00825FCF">
        <w:t>its</w:t>
      </w:r>
      <w:r w:rsidRPr="003270AC">
        <w:t xml:space="preserve"> key policy objectives. </w:t>
      </w:r>
      <w:r>
        <w:t xml:space="preserve">The Strategic Assessment should result in a view on the prioritisation and sequencing of CDR implementation. </w:t>
      </w:r>
    </w:p>
    <w:p w14:paraId="6326DA58" w14:textId="3C661AF0" w:rsidR="004E5450" w:rsidRDefault="004E5450" w:rsidP="004E5450">
      <w:pPr>
        <w:tabs>
          <w:tab w:val="left" w:pos="6804"/>
        </w:tabs>
        <w:jc w:val="both"/>
      </w:pPr>
      <w:r>
        <w:t xml:space="preserve">However, we question the setting of a timetable and need for </w:t>
      </w:r>
      <w:r w:rsidRPr="00136566">
        <w:rPr>
          <w:u w:val="single"/>
        </w:rPr>
        <w:t>accelerating</w:t>
      </w:r>
      <w:r>
        <w:t xml:space="preserve"> the implementation of </w:t>
      </w:r>
      <w:r w:rsidR="00486640">
        <w:t xml:space="preserve">a </w:t>
      </w:r>
      <w:r>
        <w:t>broader CDR rollout without</w:t>
      </w:r>
      <w:r w:rsidR="00486640">
        <w:t xml:space="preserve"> (</w:t>
      </w:r>
      <w:proofErr w:type="gramStart"/>
      <w:r>
        <w:t>as yet</w:t>
      </w:r>
      <w:proofErr w:type="gramEnd"/>
      <w:r w:rsidR="00486640">
        <w:t>)</w:t>
      </w:r>
      <w:r>
        <w:t xml:space="preserve"> identified, recognised and understood consumer benefits balanced against </w:t>
      </w:r>
      <w:r w:rsidR="00102FF9">
        <w:t xml:space="preserve">implementation </w:t>
      </w:r>
      <w:r>
        <w:t xml:space="preserve">costs.  </w:t>
      </w:r>
    </w:p>
    <w:p w14:paraId="59CC2619" w14:textId="724C0BF2" w:rsidR="004E5450" w:rsidRDefault="00102FF9" w:rsidP="004E5450">
      <w:pPr>
        <w:tabs>
          <w:tab w:val="left" w:pos="6804"/>
        </w:tabs>
        <w:jc w:val="both"/>
      </w:pPr>
      <w:r>
        <w:t xml:space="preserve">Regarding </w:t>
      </w:r>
      <w:r w:rsidR="004E5450">
        <w:t>the assessment of consumer benefit</w:t>
      </w:r>
      <w:r>
        <w:t>,</w:t>
      </w:r>
      <w:r w:rsidR="004E5450">
        <w:t xml:space="preserve"> there are important considerations that should be included in the overarching strategic assessment and in determining the balance between benefit</w:t>
      </w:r>
      <w:r w:rsidR="00B86E9B">
        <w:t>s</w:t>
      </w:r>
      <w:r w:rsidR="004E5450">
        <w:t xml:space="preserve"> and costs which don’t appear to have been considered yet. These include:</w:t>
      </w:r>
    </w:p>
    <w:p w14:paraId="07DE71A4" w14:textId="7C25653D" w:rsidR="004E5450" w:rsidRDefault="004E5450" w:rsidP="004E5450">
      <w:pPr>
        <w:pStyle w:val="ListParagraph"/>
        <w:numPr>
          <w:ilvl w:val="0"/>
          <w:numId w:val="7"/>
        </w:numPr>
        <w:tabs>
          <w:tab w:val="left" w:pos="6804"/>
        </w:tabs>
        <w:jc w:val="both"/>
      </w:pPr>
      <w:r>
        <w:t xml:space="preserve">Consumer awareness and understanding of their </w:t>
      </w:r>
      <w:r w:rsidR="00102FF9">
        <w:t>‘d</w:t>
      </w:r>
      <w:r>
        <w:t>ata</w:t>
      </w:r>
      <w:r w:rsidR="00102FF9">
        <w:t>’</w:t>
      </w:r>
      <w:r>
        <w:t xml:space="preserve"> and their </w:t>
      </w:r>
      <w:r w:rsidR="00102FF9">
        <w:t>d</w:t>
      </w:r>
      <w:r>
        <w:t>ata rights</w:t>
      </w:r>
    </w:p>
    <w:p w14:paraId="7BBA4AE9" w14:textId="77777777" w:rsidR="004E5450" w:rsidRDefault="004E5450" w:rsidP="004E5450">
      <w:pPr>
        <w:pStyle w:val="ListParagraph"/>
        <w:numPr>
          <w:ilvl w:val="0"/>
          <w:numId w:val="7"/>
        </w:numPr>
        <w:tabs>
          <w:tab w:val="left" w:pos="6804"/>
        </w:tabs>
        <w:jc w:val="both"/>
      </w:pPr>
      <w:r>
        <w:t xml:space="preserve">The impact of digital inclusion and exclusion in relation to the benefits </w:t>
      </w:r>
    </w:p>
    <w:p w14:paraId="62489E69" w14:textId="77777777" w:rsidR="004E5450" w:rsidRDefault="004E5450" w:rsidP="00065008">
      <w:pPr>
        <w:tabs>
          <w:tab w:val="left" w:pos="6804"/>
        </w:tabs>
        <w:jc w:val="both"/>
      </w:pPr>
    </w:p>
    <w:p w14:paraId="297BD982" w14:textId="2D3FDE8D" w:rsidR="004E5450" w:rsidRPr="00E5294F" w:rsidRDefault="004E5450" w:rsidP="00065008">
      <w:pPr>
        <w:tabs>
          <w:tab w:val="left" w:pos="6804"/>
        </w:tabs>
        <w:jc w:val="both"/>
        <w:rPr>
          <w:rFonts w:asciiTheme="majorHAnsi" w:eastAsiaTheme="majorEastAsia" w:hAnsiTheme="majorHAnsi" w:cstheme="majorBidi"/>
          <w:color w:val="2F5496" w:themeColor="accent1" w:themeShade="BF"/>
          <w:sz w:val="40"/>
          <w:szCs w:val="40"/>
        </w:rPr>
      </w:pPr>
      <w:r w:rsidRPr="00E5294F">
        <w:rPr>
          <w:rFonts w:asciiTheme="majorHAnsi" w:eastAsiaTheme="majorEastAsia" w:hAnsiTheme="majorHAnsi" w:cstheme="majorBidi"/>
          <w:color w:val="2F5496" w:themeColor="accent1" w:themeShade="BF"/>
          <w:sz w:val="40"/>
          <w:szCs w:val="40"/>
        </w:rPr>
        <w:t>Policy Rationale for declaring CDR datasets</w:t>
      </w:r>
    </w:p>
    <w:p w14:paraId="5F89C65D" w14:textId="30ADBE70" w:rsidR="00F2150F" w:rsidRDefault="0014208D" w:rsidP="00065008">
      <w:pPr>
        <w:tabs>
          <w:tab w:val="left" w:pos="6804"/>
        </w:tabs>
        <w:jc w:val="both"/>
      </w:pPr>
      <w:r>
        <w:t xml:space="preserve">IoTAA supports the Consumer Data Right (CDR) </w:t>
      </w:r>
      <w:r w:rsidR="008F14CF">
        <w:t xml:space="preserve">scheme as an enabling </w:t>
      </w:r>
      <w:r w:rsidR="00452A75">
        <w:t xml:space="preserve">framework </w:t>
      </w:r>
      <w:r w:rsidR="00E96C17">
        <w:t xml:space="preserve">to </w:t>
      </w:r>
      <w:r w:rsidR="003B4766">
        <w:t>help</w:t>
      </w:r>
      <w:r w:rsidR="00E96C17">
        <w:t xml:space="preserve"> consumers </w:t>
      </w:r>
      <w:r w:rsidR="0029492C" w:rsidRPr="0029492C">
        <w:t xml:space="preserve">efficiently and conveniently access </w:t>
      </w:r>
      <w:r w:rsidR="00485351">
        <w:t xml:space="preserve">specific basic </w:t>
      </w:r>
      <w:r w:rsidR="0029492C" w:rsidRPr="0029492C">
        <w:t xml:space="preserve">data </w:t>
      </w:r>
      <w:r w:rsidR="00485351">
        <w:t xml:space="preserve">sets </w:t>
      </w:r>
      <w:r w:rsidR="00712040">
        <w:t xml:space="preserve">relating to them as collected and </w:t>
      </w:r>
      <w:r w:rsidR="00562CC6">
        <w:t xml:space="preserve">held by Australian businesses </w:t>
      </w:r>
      <w:r w:rsidR="00712040">
        <w:t xml:space="preserve">operating </w:t>
      </w:r>
      <w:r w:rsidR="0029492C" w:rsidRPr="0029492C">
        <w:t xml:space="preserve">in </w:t>
      </w:r>
      <w:r w:rsidR="00485351">
        <w:t xml:space="preserve">specific </w:t>
      </w:r>
      <w:r w:rsidR="00562CC6">
        <w:t>sectors</w:t>
      </w:r>
      <w:r w:rsidR="00F2150F">
        <w:t xml:space="preserve">, including through enabling </w:t>
      </w:r>
      <w:r w:rsidR="006D0ED9">
        <w:t xml:space="preserve">an individual </w:t>
      </w:r>
      <w:r w:rsidR="00F2150F">
        <w:t xml:space="preserve">consumer to </w:t>
      </w:r>
      <w:r w:rsidR="00F2150F" w:rsidRPr="00F2150F">
        <w:t xml:space="preserve">authorise secure access to data </w:t>
      </w:r>
      <w:r w:rsidR="00F2150F">
        <w:t xml:space="preserve">about </w:t>
      </w:r>
      <w:r w:rsidR="00102FF9">
        <w:t>themselves</w:t>
      </w:r>
      <w:r w:rsidR="00F2150F">
        <w:t xml:space="preserve"> </w:t>
      </w:r>
      <w:r w:rsidR="00F2150F" w:rsidRPr="00F2150F">
        <w:t xml:space="preserve">by </w:t>
      </w:r>
      <w:r w:rsidR="006D0ED9">
        <w:t>nominated (</w:t>
      </w:r>
      <w:r w:rsidR="00F2150F" w:rsidRPr="00F2150F">
        <w:t>accredited</w:t>
      </w:r>
      <w:r w:rsidR="006D0ED9">
        <w:t>)</w:t>
      </w:r>
      <w:r w:rsidR="00F2150F" w:rsidRPr="00F2150F">
        <w:t xml:space="preserve"> third parties</w:t>
      </w:r>
      <w:r w:rsidR="00F2150F">
        <w:t>.</w:t>
      </w:r>
    </w:p>
    <w:p w14:paraId="1ACDF496" w14:textId="2855B649" w:rsidR="0099257B" w:rsidRDefault="00965777" w:rsidP="00065008">
      <w:pPr>
        <w:tabs>
          <w:tab w:val="left" w:pos="6804"/>
        </w:tabs>
        <w:jc w:val="both"/>
      </w:pPr>
      <w:r>
        <w:lastRenderedPageBreak/>
        <w:t>Declarations of data sets under t</w:t>
      </w:r>
      <w:r w:rsidR="00556B87">
        <w:t xml:space="preserve">he </w:t>
      </w:r>
      <w:r w:rsidR="008644BF">
        <w:t xml:space="preserve">CDR scheme should </w:t>
      </w:r>
      <w:r w:rsidR="00AE1702">
        <w:t xml:space="preserve">only be made </w:t>
      </w:r>
      <w:r w:rsidR="008644BF">
        <w:t xml:space="preserve">where there is a </w:t>
      </w:r>
      <w:r w:rsidR="00925DA7">
        <w:t xml:space="preserve">demonstrated need to address </w:t>
      </w:r>
      <w:r w:rsidR="00683D71">
        <w:t xml:space="preserve">a </w:t>
      </w:r>
      <w:r w:rsidR="00402EAC">
        <w:t xml:space="preserve">market failure in relation to </w:t>
      </w:r>
      <w:r w:rsidR="00E20E3B">
        <w:t xml:space="preserve">availability to consumers of </w:t>
      </w:r>
      <w:r w:rsidR="00E20E3B" w:rsidRPr="00E20E3B">
        <w:t xml:space="preserve">specific sets </w:t>
      </w:r>
      <w:r w:rsidR="004C7A29">
        <w:t xml:space="preserve">of basic data </w:t>
      </w:r>
      <w:r w:rsidR="00E20E3B" w:rsidRPr="00E20E3B">
        <w:t xml:space="preserve">relating to </w:t>
      </w:r>
      <w:r w:rsidR="00102FF9">
        <w:t>them</w:t>
      </w:r>
      <w:r w:rsidR="004C7A29">
        <w:t xml:space="preserve"> </w:t>
      </w:r>
      <w:r w:rsidR="00BA34A6">
        <w:t xml:space="preserve">as held by </w:t>
      </w:r>
      <w:r w:rsidR="008526F9">
        <w:t>businesses</w:t>
      </w:r>
      <w:r w:rsidR="00BA34A6">
        <w:t xml:space="preserve"> </w:t>
      </w:r>
      <w:r w:rsidR="00E20E3B" w:rsidRPr="00E20E3B">
        <w:t xml:space="preserve">in specific </w:t>
      </w:r>
      <w:r w:rsidR="004C7A29">
        <w:t>categories of businesses.</w:t>
      </w:r>
      <w:r w:rsidR="00402EAC">
        <w:t xml:space="preserve"> </w:t>
      </w:r>
    </w:p>
    <w:p w14:paraId="0AB64DBE" w14:textId="3C817DFE" w:rsidR="00DF1D48" w:rsidRDefault="0099257B" w:rsidP="00065008">
      <w:pPr>
        <w:tabs>
          <w:tab w:val="left" w:pos="6804"/>
        </w:tabs>
        <w:jc w:val="both"/>
      </w:pPr>
      <w:r>
        <w:t>So-called sector</w:t>
      </w:r>
      <w:r w:rsidR="00210803">
        <w:t>-</w:t>
      </w:r>
      <w:r>
        <w:t xml:space="preserve">wide declarations are generally inappropriate. </w:t>
      </w:r>
      <w:r w:rsidR="008531C5">
        <w:t xml:space="preserve">Consumer benefit should be weighed against </w:t>
      </w:r>
      <w:r w:rsidR="00102FF9">
        <w:t xml:space="preserve">the </w:t>
      </w:r>
      <w:r w:rsidR="008531C5">
        <w:t xml:space="preserve">effect on competition between businesses. </w:t>
      </w:r>
      <w:r w:rsidR="008531C5" w:rsidRPr="008531C5">
        <w:t>Each declaration fundamentally alters the state of competition between businesses</w:t>
      </w:r>
      <w:r w:rsidR="00F413F7">
        <w:t xml:space="preserve">: </w:t>
      </w:r>
      <w:r w:rsidR="005C60D3">
        <w:t xml:space="preserve">creation of </w:t>
      </w:r>
      <w:r w:rsidR="00F413F7">
        <w:t xml:space="preserve">demand side </w:t>
      </w:r>
      <w:r w:rsidR="005C60D3">
        <w:t xml:space="preserve">benefits </w:t>
      </w:r>
      <w:r w:rsidR="00EB37E2">
        <w:t xml:space="preserve">will often alter the </w:t>
      </w:r>
      <w:bookmarkStart w:id="0" w:name="_Hlk81457488"/>
      <w:r w:rsidR="00EB37E2">
        <w:t>state of supply side competition</w:t>
      </w:r>
      <w:bookmarkEnd w:id="0"/>
      <w:r w:rsidR="00EB37E2">
        <w:t xml:space="preserve">. </w:t>
      </w:r>
    </w:p>
    <w:p w14:paraId="0AC33837" w14:textId="19863A62" w:rsidR="00DF1D48" w:rsidRDefault="004E4F62" w:rsidP="00065008">
      <w:pPr>
        <w:tabs>
          <w:tab w:val="left" w:pos="6804"/>
        </w:tabs>
        <w:jc w:val="both"/>
      </w:pPr>
      <w:r>
        <w:t xml:space="preserve">Each decision to make a declaration should be preceded by a published assessment </w:t>
      </w:r>
      <w:r w:rsidR="00A11E0E">
        <w:t xml:space="preserve">(in draft for </w:t>
      </w:r>
      <w:r w:rsidR="00D24F61">
        <w:t xml:space="preserve">public </w:t>
      </w:r>
      <w:r w:rsidR="00A11E0E">
        <w:t xml:space="preserve">comment </w:t>
      </w:r>
      <w:r w:rsidR="00D24F61">
        <w:t>before finalisation)</w:t>
      </w:r>
      <w:r w:rsidR="00DB6247">
        <w:t>,</w:t>
      </w:r>
      <w:r w:rsidR="00D24F61">
        <w:t xml:space="preserve"> </w:t>
      </w:r>
      <w:r w:rsidR="00D07FEC">
        <w:t xml:space="preserve">which includes careful analysis of </w:t>
      </w:r>
      <w:r w:rsidR="00A11E0E">
        <w:t xml:space="preserve">possible effects </w:t>
      </w:r>
      <w:r w:rsidR="00102FF9">
        <w:t>on</w:t>
      </w:r>
      <w:r w:rsidR="00A11E0E">
        <w:t xml:space="preserve"> </w:t>
      </w:r>
      <w:r w:rsidR="00B44F9C" w:rsidRPr="00B44F9C">
        <w:t xml:space="preserve">supply side competition </w:t>
      </w:r>
      <w:r w:rsidR="00802D6D">
        <w:t xml:space="preserve">between businesses, as well as analysis of consumer benefit. </w:t>
      </w:r>
    </w:p>
    <w:p w14:paraId="23E60CA6" w14:textId="3998CE21" w:rsidR="001C0888" w:rsidRDefault="00DF1D48" w:rsidP="00DF1D48">
      <w:pPr>
        <w:tabs>
          <w:tab w:val="left" w:pos="6804"/>
        </w:tabs>
        <w:jc w:val="both"/>
      </w:pPr>
      <w:r>
        <w:t>A declaration may improve competition</w:t>
      </w:r>
      <w:r w:rsidRPr="00765270">
        <w:t xml:space="preserve"> between businesses in a sector</w:t>
      </w:r>
      <w:r>
        <w:t>: for example</w:t>
      </w:r>
      <w:r w:rsidR="00102FF9">
        <w:t>,</w:t>
      </w:r>
      <w:r w:rsidRPr="00DF1D48">
        <w:t xml:space="preserve"> where availability to consumers of the declared CDR data set facilitates comparison of prices and product features (‘apple </w:t>
      </w:r>
      <w:r w:rsidR="00102FF9">
        <w:t xml:space="preserve">with </w:t>
      </w:r>
      <w:r w:rsidRPr="00DF1D48">
        <w:t>apple’) comparisons, or reduce friction, inconvenience or expense of consumers when moving between service providers.</w:t>
      </w:r>
      <w:r w:rsidR="00043638">
        <w:t xml:space="preserve"> </w:t>
      </w:r>
    </w:p>
    <w:p w14:paraId="4DEC6F68" w14:textId="77777777" w:rsidR="009C5D44" w:rsidRDefault="00043638" w:rsidP="00DF1D48">
      <w:pPr>
        <w:tabs>
          <w:tab w:val="left" w:pos="6804"/>
        </w:tabs>
        <w:jc w:val="both"/>
      </w:pPr>
      <w:r>
        <w:t xml:space="preserve">A declaration may </w:t>
      </w:r>
      <w:r w:rsidR="008C386D">
        <w:t xml:space="preserve">have adverse effects </w:t>
      </w:r>
      <w:r w:rsidR="00102FF9">
        <w:t>on</w:t>
      </w:r>
      <w:r w:rsidR="008C386D">
        <w:t xml:space="preserve"> </w:t>
      </w:r>
      <w:r w:rsidR="008641F1">
        <w:t xml:space="preserve">the </w:t>
      </w:r>
      <w:r>
        <w:t xml:space="preserve">profitability of </w:t>
      </w:r>
      <w:proofErr w:type="gramStart"/>
      <w:r>
        <w:t>particular businesses</w:t>
      </w:r>
      <w:proofErr w:type="gramEnd"/>
      <w:r>
        <w:t xml:space="preserve"> or a particular category of business, but still</w:t>
      </w:r>
      <w:r w:rsidR="00102FF9">
        <w:t xml:space="preserve"> be</w:t>
      </w:r>
      <w:r>
        <w:t xml:space="preserve"> </w:t>
      </w:r>
      <w:r w:rsidR="008C386D">
        <w:t>justified by demonstrable consumer benefit</w:t>
      </w:r>
      <w:r w:rsidR="00B75331">
        <w:t xml:space="preserve">. For example, a declaration might enable a consumer to </w:t>
      </w:r>
      <w:r w:rsidR="00E72C69">
        <w:t xml:space="preserve">obtain information that enables </w:t>
      </w:r>
      <w:r w:rsidR="00102FF9">
        <w:t>them</w:t>
      </w:r>
      <w:r w:rsidR="00E72C69">
        <w:t xml:space="preserve"> to </w:t>
      </w:r>
      <w:r w:rsidR="00102FF9">
        <w:t>determine</w:t>
      </w:r>
      <w:r w:rsidR="00E72C69">
        <w:t xml:space="preserve"> whether </w:t>
      </w:r>
      <w:r w:rsidR="00D0099C">
        <w:t xml:space="preserve">and how to </w:t>
      </w:r>
      <w:r w:rsidR="00E72C69">
        <w:t xml:space="preserve">use IoT or other technologies to </w:t>
      </w:r>
      <w:r w:rsidR="00B75331" w:rsidRPr="00B75331">
        <w:t>increase efficiency of use of a particular service</w:t>
      </w:r>
      <w:r w:rsidR="00D0099C">
        <w:t xml:space="preserve">, </w:t>
      </w:r>
      <w:r w:rsidR="00173C32">
        <w:t xml:space="preserve">such as </w:t>
      </w:r>
      <w:r w:rsidR="00B75331" w:rsidRPr="00B75331">
        <w:t xml:space="preserve">by knowing time of day consumption patterns, </w:t>
      </w:r>
      <w:r w:rsidR="00173C32">
        <w:t xml:space="preserve">thereby </w:t>
      </w:r>
      <w:r w:rsidR="00B75331" w:rsidRPr="00B75331">
        <w:t>empowering decisions to change their consumption and reduce use or cost of use of a particular service</w:t>
      </w:r>
      <w:r w:rsidR="00173C32">
        <w:t xml:space="preserve">. </w:t>
      </w:r>
    </w:p>
    <w:p w14:paraId="50A6CDC8" w14:textId="6D62EB6D" w:rsidR="00EC16F8" w:rsidRDefault="00173C32" w:rsidP="00DF1D48">
      <w:pPr>
        <w:tabs>
          <w:tab w:val="left" w:pos="6804"/>
        </w:tabs>
        <w:jc w:val="both"/>
      </w:pPr>
      <w:r>
        <w:t xml:space="preserve">This </w:t>
      </w:r>
      <w:r w:rsidR="00EC16F8">
        <w:t>declaration</w:t>
      </w:r>
      <w:r>
        <w:t xml:space="preserve"> may reduce profitability of </w:t>
      </w:r>
      <w:r w:rsidR="00EC16F8">
        <w:t>suppliers</w:t>
      </w:r>
      <w:r>
        <w:t xml:space="preserve"> but be </w:t>
      </w:r>
      <w:r w:rsidR="00EC16F8">
        <w:t>justifi</w:t>
      </w:r>
      <w:r w:rsidR="00102FF9">
        <w:t>able</w:t>
      </w:r>
      <w:r w:rsidR="00EC16F8">
        <w:t xml:space="preserve">. </w:t>
      </w:r>
      <w:r w:rsidR="00476304" w:rsidRPr="00476304">
        <w:t xml:space="preserve">A declaration may facilitate important transitions in the </w:t>
      </w:r>
      <w:r w:rsidR="00CF3B65">
        <w:t xml:space="preserve">Australian </w:t>
      </w:r>
      <w:r w:rsidR="00476304" w:rsidRPr="00476304">
        <w:t>economy, such as by enabling a consumer to obtain</w:t>
      </w:r>
      <w:r w:rsidR="00322F58">
        <w:t xml:space="preserve"> the</w:t>
      </w:r>
      <w:r w:rsidR="00476304" w:rsidRPr="00476304">
        <w:t xml:space="preserve"> information required to make cross-sectorial comparison</w:t>
      </w:r>
      <w:r w:rsidR="00322F58">
        <w:t>s</w:t>
      </w:r>
      <w:r w:rsidR="00491D08">
        <w:t>. F</w:t>
      </w:r>
      <w:r w:rsidR="00476304" w:rsidRPr="00476304">
        <w:t xml:space="preserve">or example, </w:t>
      </w:r>
      <w:r w:rsidR="00491D08">
        <w:t xml:space="preserve">energy consumption CDR data sets may </w:t>
      </w:r>
      <w:r w:rsidR="00476304" w:rsidRPr="00476304">
        <w:t>enable an adviser to inform the consumer whether to change electricity or gas to solar</w:t>
      </w:r>
      <w:r w:rsidR="00491D08">
        <w:t>,</w:t>
      </w:r>
      <w:r w:rsidR="009060E2">
        <w:t xml:space="preserve"> </w:t>
      </w:r>
      <w:r w:rsidR="00C97AC5" w:rsidRPr="00476304">
        <w:t>whether</w:t>
      </w:r>
      <w:r w:rsidR="00476304" w:rsidRPr="00476304">
        <w:t xml:space="preserve"> to instal</w:t>
      </w:r>
      <w:r w:rsidR="00322F58">
        <w:t>l</w:t>
      </w:r>
      <w:r w:rsidR="00476304" w:rsidRPr="00476304">
        <w:t xml:space="preserve"> a </w:t>
      </w:r>
      <w:r w:rsidR="00C97AC5">
        <w:t>solar fed battery and if so</w:t>
      </w:r>
      <w:r w:rsidR="00A7328C">
        <w:t>,</w:t>
      </w:r>
      <w:r w:rsidR="00C97AC5">
        <w:t xml:space="preserve"> of what </w:t>
      </w:r>
      <w:r w:rsidR="009060E2">
        <w:t xml:space="preserve">capacity and configuration. </w:t>
      </w:r>
    </w:p>
    <w:p w14:paraId="086634A9" w14:textId="7BD063F2" w:rsidR="00322F58" w:rsidRDefault="008302DA" w:rsidP="00DF1D48">
      <w:pPr>
        <w:tabs>
          <w:tab w:val="left" w:pos="6804"/>
        </w:tabs>
        <w:jc w:val="both"/>
      </w:pPr>
      <w:r>
        <w:t>By contrast</w:t>
      </w:r>
      <w:r w:rsidR="00A7328C">
        <w:t>,</w:t>
      </w:r>
      <w:r>
        <w:t xml:space="preserve"> a</w:t>
      </w:r>
      <w:r w:rsidR="00CF3B65" w:rsidRPr="00CF3B65">
        <w:t xml:space="preserve"> declaration may erode competition between businesses in a sector if forced availability of data sets to competitors lessens incentives for businesses to innovate and differentiate their offerings. An adverse impact </w:t>
      </w:r>
      <w:r w:rsidR="00322F58">
        <w:t xml:space="preserve">on </w:t>
      </w:r>
      <w:r w:rsidR="00CF3B65" w:rsidRPr="00CF3B65">
        <w:t xml:space="preserve">competition is likely where data within a </w:t>
      </w:r>
      <w:r>
        <w:t xml:space="preserve">potential </w:t>
      </w:r>
      <w:r w:rsidR="00CF3B65" w:rsidRPr="00CF3B65">
        <w:t xml:space="preserve">CDR data set is significantly value added through algorithmic inferences, matching with other data sets and other transformations and insights through advanced data analytics. </w:t>
      </w:r>
      <w:r w:rsidR="003B07DD">
        <w:t xml:space="preserve">In general, if curation and </w:t>
      </w:r>
      <w:r w:rsidR="00DF613A">
        <w:t>transformation</w:t>
      </w:r>
      <w:r w:rsidR="003B07DD">
        <w:t xml:space="preserve"> of data is </w:t>
      </w:r>
      <w:r w:rsidR="00DF613A">
        <w:t>the essence of the service, rather than data being a by</w:t>
      </w:r>
      <w:r w:rsidR="00E6616A">
        <w:t>-</w:t>
      </w:r>
      <w:r w:rsidR="00DF613A">
        <w:t xml:space="preserve">product of </w:t>
      </w:r>
      <w:r w:rsidR="00E6616A">
        <w:t>provision of a service (</w:t>
      </w:r>
      <w:proofErr w:type="gramStart"/>
      <w:r w:rsidR="00E6616A">
        <w:t>i.e.</w:t>
      </w:r>
      <w:proofErr w:type="gramEnd"/>
      <w:r w:rsidR="00E6616A">
        <w:t xml:space="preserve"> transaction data where the </w:t>
      </w:r>
      <w:r w:rsidR="007E014E">
        <w:t>transaction</w:t>
      </w:r>
      <w:r w:rsidR="00E6616A">
        <w:t xml:space="preserve"> </w:t>
      </w:r>
      <w:r w:rsidR="0046336B">
        <w:t xml:space="preserve">principally </w:t>
      </w:r>
      <w:r w:rsidR="00E6616A">
        <w:t xml:space="preserve">relates </w:t>
      </w:r>
      <w:r w:rsidR="007E014E">
        <w:t xml:space="preserve">to </w:t>
      </w:r>
      <w:r w:rsidR="0046336B">
        <w:t xml:space="preserve">something other than collection and use of this data), </w:t>
      </w:r>
      <w:r w:rsidR="00731ACC">
        <w:t xml:space="preserve">there is a </w:t>
      </w:r>
      <w:r w:rsidR="00242AD1">
        <w:t xml:space="preserve">substantial likelihood that declaration of that data would </w:t>
      </w:r>
      <w:r w:rsidR="00242AD1" w:rsidRPr="00242AD1">
        <w:t>lessen incentives for</w:t>
      </w:r>
      <w:r w:rsidR="00062F8F">
        <w:t xml:space="preserve"> </w:t>
      </w:r>
      <w:r w:rsidR="0095145B">
        <w:t xml:space="preserve">relevant data holders </w:t>
      </w:r>
      <w:r w:rsidR="00242AD1" w:rsidRPr="00242AD1">
        <w:t>to innovate and differentiate their offerings</w:t>
      </w:r>
      <w:r w:rsidR="0095145B">
        <w:t xml:space="preserve">. </w:t>
      </w:r>
    </w:p>
    <w:p w14:paraId="620F1C37" w14:textId="6FAC5303" w:rsidR="00461C73" w:rsidRDefault="00CF3B65" w:rsidP="00DF1D48">
      <w:pPr>
        <w:tabs>
          <w:tab w:val="left" w:pos="6804"/>
        </w:tabs>
        <w:jc w:val="both"/>
      </w:pPr>
      <w:r w:rsidRPr="00CF3B65">
        <w:t>Sometimes</w:t>
      </w:r>
      <w:r w:rsidR="00322F58">
        <w:t>,</w:t>
      </w:r>
      <w:r w:rsidRPr="00CF3B65">
        <w:t xml:space="preserve"> forced availability </w:t>
      </w:r>
      <w:r w:rsidR="0095145B">
        <w:t xml:space="preserve">through declaration </w:t>
      </w:r>
      <w:r w:rsidRPr="00CF3B65">
        <w:t xml:space="preserve">of even basic data sets may impede competition within a sector. For example, </w:t>
      </w:r>
      <w:r w:rsidR="00E716DE" w:rsidRPr="00E716DE">
        <w:t xml:space="preserve">collation and curation of data about consumers is </w:t>
      </w:r>
      <w:r w:rsidR="00A23A5C">
        <w:t>the core</w:t>
      </w:r>
      <w:r w:rsidR="00E716DE" w:rsidRPr="00E716DE">
        <w:t xml:space="preserve"> </w:t>
      </w:r>
      <w:r w:rsidR="00446807">
        <w:t xml:space="preserve">of </w:t>
      </w:r>
      <w:r w:rsidRPr="00CF3B65">
        <w:t>customer loyalty programs</w:t>
      </w:r>
      <w:r w:rsidR="00446807">
        <w:t xml:space="preserve">, their </w:t>
      </w:r>
      <w:r w:rsidRPr="00CF3B65">
        <w:t>differentiation</w:t>
      </w:r>
      <w:r w:rsidR="00446807">
        <w:t xml:space="preserve"> between each other and </w:t>
      </w:r>
      <w:r w:rsidR="00B727B4">
        <w:t xml:space="preserve">creation and maintenance of their value proposition for consumers. Declaration of consumer loyalty program data </w:t>
      </w:r>
      <w:r w:rsidR="00B71ADB">
        <w:t xml:space="preserve">would </w:t>
      </w:r>
      <w:r w:rsidR="0088103F">
        <w:t xml:space="preserve">likely </w:t>
      </w:r>
      <w:r w:rsidR="00B71ADB" w:rsidRPr="00B71ADB">
        <w:t xml:space="preserve">lessen incentives for </w:t>
      </w:r>
      <w:r w:rsidR="00B71ADB">
        <w:t>l</w:t>
      </w:r>
      <w:r w:rsidR="00461C73">
        <w:t xml:space="preserve">oyalty </w:t>
      </w:r>
      <w:r w:rsidR="00B71ADB">
        <w:t xml:space="preserve">program operators </w:t>
      </w:r>
      <w:r w:rsidR="00B71ADB" w:rsidRPr="00B71ADB">
        <w:t>to innovate and differentiate their offerings</w:t>
      </w:r>
      <w:r w:rsidR="00461C73">
        <w:t xml:space="preserve">. </w:t>
      </w:r>
    </w:p>
    <w:p w14:paraId="51746635" w14:textId="032E0B81" w:rsidR="00474ECD" w:rsidRDefault="007B00E5" w:rsidP="00474ECD">
      <w:pPr>
        <w:tabs>
          <w:tab w:val="left" w:pos="6804"/>
        </w:tabs>
        <w:jc w:val="both"/>
      </w:pPr>
      <w:r>
        <w:t xml:space="preserve">In some cases, derivation of </w:t>
      </w:r>
      <w:r w:rsidR="00D62EEA">
        <w:t>consumer</w:t>
      </w:r>
      <w:r>
        <w:t xml:space="preserve"> be</w:t>
      </w:r>
      <w:r w:rsidR="00D62EEA">
        <w:t>ne</w:t>
      </w:r>
      <w:r>
        <w:t xml:space="preserve">fit from use of </w:t>
      </w:r>
      <w:r w:rsidR="00DB0C11">
        <w:t>IoT device</w:t>
      </w:r>
      <w:r w:rsidR="006433A5">
        <w:t>s</w:t>
      </w:r>
      <w:r w:rsidR="009528A9">
        <w:t xml:space="preserve"> </w:t>
      </w:r>
      <w:r w:rsidR="006433A5">
        <w:t xml:space="preserve">may </w:t>
      </w:r>
      <w:r w:rsidR="00DE274C">
        <w:t>depend</w:t>
      </w:r>
      <w:r w:rsidR="00D62EEA">
        <w:t xml:space="preserve"> </w:t>
      </w:r>
      <w:r w:rsidR="005A6D84">
        <w:t>on</w:t>
      </w:r>
      <w:r w:rsidR="006433A5">
        <w:t xml:space="preserve"> </w:t>
      </w:r>
      <w:r w:rsidR="003B4139">
        <w:t xml:space="preserve">the </w:t>
      </w:r>
      <w:r w:rsidR="006433A5">
        <w:t xml:space="preserve">availability of declared CDR data sets </w:t>
      </w:r>
      <w:r w:rsidR="00383E30">
        <w:t xml:space="preserve">(or </w:t>
      </w:r>
      <w:r w:rsidR="00DE274C">
        <w:t xml:space="preserve">at </w:t>
      </w:r>
      <w:r w:rsidR="00F5040B">
        <w:t>consumer</w:t>
      </w:r>
      <w:r w:rsidR="00DE274C">
        <w:t xml:space="preserve"> direction</w:t>
      </w:r>
      <w:r w:rsidR="00F5040B">
        <w:t>,</w:t>
      </w:r>
      <w:r w:rsidR="00DE274C">
        <w:t xml:space="preserve"> </w:t>
      </w:r>
      <w:r w:rsidR="00383E30">
        <w:t>to new service providers</w:t>
      </w:r>
      <w:r w:rsidR="00D62EEA">
        <w:t>)</w:t>
      </w:r>
      <w:r w:rsidR="00F5040B">
        <w:t xml:space="preserve"> </w:t>
      </w:r>
      <w:r w:rsidR="00A1387C">
        <w:t xml:space="preserve">to inform </w:t>
      </w:r>
      <w:r w:rsidR="00DE274C">
        <w:t>them</w:t>
      </w:r>
      <w:r w:rsidR="00A1387C">
        <w:t xml:space="preserve"> about whether, when and how to </w:t>
      </w:r>
      <w:r w:rsidR="00B35DC1">
        <w:t>deploy</w:t>
      </w:r>
      <w:r w:rsidR="00A1387C">
        <w:t xml:space="preserve"> IoT </w:t>
      </w:r>
      <w:r w:rsidR="00B35DC1">
        <w:t xml:space="preserve">devices and use IoT device data driven services. </w:t>
      </w:r>
      <w:r w:rsidR="00D62EEA">
        <w:t xml:space="preserve">In other cases, </w:t>
      </w:r>
      <w:r w:rsidR="0001124A">
        <w:lastRenderedPageBreak/>
        <w:t xml:space="preserve">an </w:t>
      </w:r>
      <w:r w:rsidR="0046744C">
        <w:t>assessment</w:t>
      </w:r>
      <w:r w:rsidR="0001124A">
        <w:t xml:space="preserve"> wi</w:t>
      </w:r>
      <w:r w:rsidR="0046744C">
        <w:t>l</w:t>
      </w:r>
      <w:r w:rsidR="0001124A">
        <w:t xml:space="preserve">l need to be made whether </w:t>
      </w:r>
      <w:r w:rsidR="00A6394F">
        <w:t xml:space="preserve">data generated by use </w:t>
      </w:r>
      <w:r w:rsidR="00E36400">
        <w:t xml:space="preserve">of </w:t>
      </w:r>
      <w:r w:rsidR="0046744C">
        <w:t>IoT device</w:t>
      </w:r>
      <w:r w:rsidR="00E36400">
        <w:t>s</w:t>
      </w:r>
      <w:r w:rsidR="0046744C">
        <w:t xml:space="preserve"> </w:t>
      </w:r>
      <w:r w:rsidR="00E36400">
        <w:t xml:space="preserve">should be declared CDR data sets. </w:t>
      </w:r>
      <w:r w:rsidR="00474ECD" w:rsidRPr="002A1A59">
        <w:t>In each case, the justification should be made in an assessment that is finalised after public comment and published before declaration.</w:t>
      </w:r>
      <w:r w:rsidR="00474ECD">
        <w:t xml:space="preserve"> That assessment should address both supply </w:t>
      </w:r>
      <w:r w:rsidR="00DE274C">
        <w:t xml:space="preserve">side </w:t>
      </w:r>
      <w:r w:rsidR="00474ECD">
        <w:t xml:space="preserve">and demand side effects of a declaration.  </w:t>
      </w:r>
    </w:p>
    <w:p w14:paraId="48DDF2B3" w14:textId="564EBAB5" w:rsidR="00B60E1C" w:rsidRDefault="006D4589" w:rsidP="00B60E1C">
      <w:pPr>
        <w:pStyle w:val="Heading1"/>
        <w:spacing w:before="360" w:after="240"/>
      </w:pPr>
      <w:r>
        <w:rPr>
          <w:sz w:val="40"/>
          <w:szCs w:val="40"/>
        </w:rPr>
        <w:t>Recommendations</w:t>
      </w:r>
    </w:p>
    <w:p w14:paraId="3037C776" w14:textId="539BCFE7" w:rsidR="007B56AA" w:rsidRDefault="007B56AA" w:rsidP="007B56AA">
      <w:pPr>
        <w:spacing w:before="80" w:after="80"/>
      </w:pPr>
      <w:r>
        <w:t>Before priorit</w:t>
      </w:r>
      <w:r w:rsidR="009E5603">
        <w:t>y sectors</w:t>
      </w:r>
      <w:r>
        <w:t xml:space="preserve"> can be set for CDR there are a few pre-requisites </w:t>
      </w:r>
      <w:r w:rsidR="00D57068">
        <w:t xml:space="preserve">that </w:t>
      </w:r>
      <w:r w:rsidR="009E5603">
        <w:t xml:space="preserve">need to </w:t>
      </w:r>
      <w:r>
        <w:t xml:space="preserve">be the subject of the </w:t>
      </w:r>
      <w:r w:rsidR="00171275">
        <w:t>S</w:t>
      </w:r>
      <w:r>
        <w:t xml:space="preserve">trategic </w:t>
      </w:r>
      <w:r w:rsidR="00171275">
        <w:t>A</w:t>
      </w:r>
      <w:r>
        <w:t>ssessment</w:t>
      </w:r>
      <w:r w:rsidR="00DE274C">
        <w:t>.</w:t>
      </w:r>
    </w:p>
    <w:p w14:paraId="5E66D647" w14:textId="132492D5" w:rsidR="00A87B90" w:rsidRDefault="007B56AA" w:rsidP="00DE274C">
      <w:pPr>
        <w:pStyle w:val="ListParagraph"/>
        <w:numPr>
          <w:ilvl w:val="0"/>
          <w:numId w:val="8"/>
        </w:numPr>
        <w:spacing w:before="80" w:after="80"/>
        <w:ind w:left="357" w:hanging="357"/>
        <w:contextualSpacing w:val="0"/>
      </w:pPr>
      <w:r>
        <w:t xml:space="preserve">Evidence of demonstrable consumer benefit for sectoral use cases where there are identified </w:t>
      </w:r>
      <w:r w:rsidR="00DE274C">
        <w:t>‘</w:t>
      </w:r>
      <w:r>
        <w:t>valuable</w:t>
      </w:r>
      <w:r w:rsidR="00DE274C">
        <w:t xml:space="preserve">’ </w:t>
      </w:r>
      <w:r>
        <w:t>data sets being collected</w:t>
      </w:r>
      <w:r w:rsidR="00DE274C">
        <w:t>.</w:t>
      </w:r>
    </w:p>
    <w:p w14:paraId="298361F3" w14:textId="572E0311" w:rsidR="00A87B90" w:rsidRDefault="00A87B90" w:rsidP="00DE274C">
      <w:pPr>
        <w:pStyle w:val="ListParagraph"/>
        <w:numPr>
          <w:ilvl w:val="0"/>
          <w:numId w:val="8"/>
        </w:numPr>
        <w:spacing w:before="80" w:after="80"/>
        <w:ind w:left="357" w:hanging="357"/>
        <w:contextualSpacing w:val="0"/>
      </w:pPr>
      <w:r>
        <w:t>Initial cost benefit analysis for consumers</w:t>
      </w:r>
      <w:r w:rsidR="00DE274C">
        <w:t xml:space="preserve">, </w:t>
      </w:r>
      <w:r>
        <w:t>business</w:t>
      </w:r>
      <w:r w:rsidR="00DE274C">
        <w:t xml:space="preserve"> and the </w:t>
      </w:r>
      <w:r>
        <w:t>economy</w:t>
      </w:r>
      <w:r w:rsidR="00DE274C">
        <w:t>.</w:t>
      </w:r>
      <w:r w:rsidR="007B56AA">
        <w:t xml:space="preserve">                                                                                                                                                                                                                                                                                                                                                                                                                                                                                                                                                                                                                                                                                                                                                                                                                                                                                                                                                                                                                                                                                                                                                                                                                                                                                                                                                                                                                                                                                                                                                                                                                                                                                                                                                                                                                                                                                                                                                                                                                                                                                                                                                                                                                                                                                                                                                                                                                                                                                                                                                                                                                                                                                                                                                                                                                                                                                                                                                                                                                                                                                                                                                                                 </w:t>
      </w:r>
    </w:p>
    <w:p w14:paraId="4A259715" w14:textId="44A102CA" w:rsidR="007B56AA" w:rsidRDefault="007B56AA" w:rsidP="00DE274C">
      <w:pPr>
        <w:pStyle w:val="ListParagraph"/>
        <w:numPr>
          <w:ilvl w:val="0"/>
          <w:numId w:val="8"/>
        </w:numPr>
        <w:spacing w:before="80" w:after="80"/>
        <w:ind w:left="357" w:hanging="357"/>
        <w:contextualSpacing w:val="0"/>
      </w:pPr>
      <w:r>
        <w:t xml:space="preserve">Initial identification of </w:t>
      </w:r>
      <w:r w:rsidR="009E5603">
        <w:t xml:space="preserve">the market </w:t>
      </w:r>
      <w:r>
        <w:t xml:space="preserve">barriers </w:t>
      </w:r>
      <w:r w:rsidR="009E5603">
        <w:t xml:space="preserve">to consumers accessing their data </w:t>
      </w:r>
      <w:r w:rsidR="00A87B90">
        <w:t>and</w:t>
      </w:r>
      <w:r w:rsidR="009E5603">
        <w:t xml:space="preserve"> the</w:t>
      </w:r>
      <w:r w:rsidR="00A87B90">
        <w:t xml:space="preserve"> time </w:t>
      </w:r>
      <w:r>
        <w:t>to implement</w:t>
      </w:r>
      <w:r w:rsidR="009E5603">
        <w:t xml:space="preserve"> CDR for that sector</w:t>
      </w:r>
      <w:r w:rsidR="00DE274C">
        <w:t>.</w:t>
      </w:r>
    </w:p>
    <w:p w14:paraId="698EE6BE" w14:textId="6FF4E642" w:rsidR="00A87B90" w:rsidRDefault="00A87B90" w:rsidP="00DE274C">
      <w:pPr>
        <w:pStyle w:val="ListParagraph"/>
        <w:numPr>
          <w:ilvl w:val="0"/>
          <w:numId w:val="8"/>
        </w:numPr>
        <w:spacing w:before="80" w:after="80"/>
        <w:ind w:left="357" w:hanging="357"/>
        <w:contextualSpacing w:val="0"/>
      </w:pPr>
      <w:r>
        <w:t>Relative cost/benefit between use cases</w:t>
      </w:r>
      <w:r w:rsidR="00DE274C">
        <w:t>.</w:t>
      </w:r>
    </w:p>
    <w:p w14:paraId="3903444C" w14:textId="3725FFA6" w:rsidR="00C5192C" w:rsidRDefault="00C5192C" w:rsidP="00DE274C">
      <w:pPr>
        <w:pStyle w:val="ListParagraph"/>
        <w:numPr>
          <w:ilvl w:val="0"/>
          <w:numId w:val="8"/>
        </w:numPr>
        <w:spacing w:before="80" w:after="80"/>
        <w:ind w:left="357" w:hanging="357"/>
        <w:contextualSpacing w:val="0"/>
      </w:pPr>
      <w:r>
        <w:t xml:space="preserve">Consideration whether there are other government tools and initiatives that </w:t>
      </w:r>
      <w:r w:rsidR="009E5603">
        <w:t xml:space="preserve">individually or in concert </w:t>
      </w:r>
      <w:r>
        <w:t xml:space="preserve">achieve </w:t>
      </w:r>
      <w:r w:rsidR="00DE274C">
        <w:t xml:space="preserve">better </w:t>
      </w:r>
      <w:r>
        <w:t>competition and consumer outcomes</w:t>
      </w:r>
      <w:r w:rsidR="00DE274C">
        <w:t>.</w:t>
      </w:r>
    </w:p>
    <w:p w14:paraId="137F0BF6" w14:textId="38921CC0" w:rsidR="003270AC" w:rsidRDefault="004E5450" w:rsidP="007B56AA">
      <w:pPr>
        <w:pStyle w:val="ListParagraph"/>
        <w:numPr>
          <w:ilvl w:val="0"/>
          <w:numId w:val="8"/>
        </w:numPr>
        <w:tabs>
          <w:tab w:val="left" w:pos="6804"/>
        </w:tabs>
        <w:spacing w:after="0"/>
        <w:ind w:left="357" w:hanging="357"/>
        <w:jc w:val="both"/>
      </w:pPr>
      <w:r>
        <w:t>IoTAA recommends an assessment of the current CDR arrangements in declared sectors take</w:t>
      </w:r>
      <w:r w:rsidR="003270AC">
        <w:t xml:space="preserve"> </w:t>
      </w:r>
      <w:r>
        <w:t xml:space="preserve">place as a first step before proceeding with the wider rollout of the scheme.  With the knowledge of what is working and what can be learned from the current implementation, the settings for the scheme can be adjusted and will inform how </w:t>
      </w:r>
      <w:r w:rsidR="003270AC">
        <w:t xml:space="preserve">to </w:t>
      </w:r>
      <w:r>
        <w:t xml:space="preserve">proceed with a wider Strategic Assessment to </w:t>
      </w:r>
      <w:r w:rsidR="003270AC">
        <w:t>examine</w:t>
      </w:r>
      <w:r>
        <w:t xml:space="preserve"> other sectors.</w:t>
      </w:r>
    </w:p>
    <w:p w14:paraId="1BCC0ACE" w14:textId="6DF568C5" w:rsidR="00A87B90" w:rsidRDefault="00A87B90" w:rsidP="00E5294F">
      <w:pPr>
        <w:spacing w:before="240"/>
        <w:jc w:val="both"/>
      </w:pPr>
      <w:r>
        <w:t>This would create a candidate list for deeper consideration with industry and consumers in a particular order</w:t>
      </w:r>
      <w:r w:rsidR="003270AC">
        <w:t xml:space="preserve"> that are </w:t>
      </w:r>
      <w:r>
        <w:t>not yet priorities for implementation.</w:t>
      </w:r>
    </w:p>
    <w:p w14:paraId="7D4587EF" w14:textId="578ADF9E" w:rsidR="007B56AA" w:rsidRPr="00A87B90" w:rsidRDefault="00A87B90" w:rsidP="00A87B90">
      <w:pPr>
        <w:jc w:val="both"/>
        <w:rPr>
          <w:rFonts w:cstheme="minorHAnsi"/>
        </w:rPr>
      </w:pPr>
      <w:r>
        <w:t xml:space="preserve">We concur with the </w:t>
      </w:r>
      <w:r w:rsidR="009E5603">
        <w:t xml:space="preserve">views of the </w:t>
      </w:r>
      <w:r>
        <w:t>A</w:t>
      </w:r>
      <w:r w:rsidR="009E5603">
        <w:t xml:space="preserve">ustralian </w:t>
      </w:r>
      <w:r>
        <w:t>I</w:t>
      </w:r>
      <w:r w:rsidR="009E5603">
        <w:t xml:space="preserve">nformation </w:t>
      </w:r>
      <w:r>
        <w:t>I</w:t>
      </w:r>
      <w:r w:rsidR="009E5603">
        <w:t xml:space="preserve">ndustry </w:t>
      </w:r>
      <w:r>
        <w:t>A</w:t>
      </w:r>
      <w:r w:rsidR="009E5603">
        <w:t>ssociation</w:t>
      </w:r>
      <w:r w:rsidR="003270AC">
        <w:t xml:space="preserve"> </w:t>
      </w:r>
      <w:r>
        <w:t>t</w:t>
      </w:r>
      <w:r w:rsidR="006D4589">
        <w:t xml:space="preserve">hat government </w:t>
      </w:r>
      <w:r>
        <w:t xml:space="preserve">should </w:t>
      </w:r>
      <w:r w:rsidR="006D4589">
        <w:t>formulate a comprehensive community</w:t>
      </w:r>
      <w:r w:rsidR="003270AC">
        <w:t>-</w:t>
      </w:r>
      <w:r w:rsidR="006D4589">
        <w:t>focused education plan on the CDR</w:t>
      </w:r>
      <w:r w:rsidR="003270AC">
        <w:t xml:space="preserve"> that focuses</w:t>
      </w:r>
      <w:r w:rsidR="006D4589">
        <w:t xml:space="preserve"> equally on reassurance, awareness, and information. </w:t>
      </w:r>
    </w:p>
    <w:p w14:paraId="544CA3C5" w14:textId="30729AB4" w:rsidR="006D4589" w:rsidRDefault="00C5192C" w:rsidP="00F84D20">
      <w:pPr>
        <w:jc w:val="both"/>
        <w:rPr>
          <w:rFonts w:cstheme="minorHAnsi"/>
        </w:rPr>
      </w:pPr>
      <w:r>
        <w:t>IoTAA would be pleased to discuss this submission. Please contact Frank Zeichner, CEO IoTAA, frank.zeichner@iot.org.au</w:t>
      </w:r>
    </w:p>
    <w:p w14:paraId="280663F6" w14:textId="18358E37" w:rsidR="006D4589" w:rsidRDefault="006D4589" w:rsidP="00F84D20">
      <w:pPr>
        <w:jc w:val="both"/>
        <w:rPr>
          <w:rFonts w:cstheme="minorHAnsi"/>
        </w:rPr>
      </w:pPr>
    </w:p>
    <w:p w14:paraId="599D9026" w14:textId="714A13E1" w:rsidR="006D4589" w:rsidRDefault="006D4589" w:rsidP="00F84D20">
      <w:pPr>
        <w:jc w:val="both"/>
        <w:rPr>
          <w:rFonts w:cstheme="minorHAnsi"/>
        </w:rPr>
      </w:pPr>
    </w:p>
    <w:p w14:paraId="41E99C9E" w14:textId="3A2A393B" w:rsidR="004E5450" w:rsidRDefault="004E5450" w:rsidP="00F84D20">
      <w:pPr>
        <w:jc w:val="both"/>
        <w:rPr>
          <w:rFonts w:cstheme="minorHAnsi"/>
        </w:rPr>
      </w:pPr>
    </w:p>
    <w:p w14:paraId="00E2727D" w14:textId="0A4EE806" w:rsidR="004E5450" w:rsidRDefault="004E5450" w:rsidP="00F84D20">
      <w:pPr>
        <w:jc w:val="both"/>
        <w:rPr>
          <w:rFonts w:cstheme="minorHAnsi"/>
        </w:rPr>
      </w:pPr>
    </w:p>
    <w:p w14:paraId="1027F404" w14:textId="4A060EFD" w:rsidR="004E5450" w:rsidRDefault="004E5450" w:rsidP="00F84D20">
      <w:pPr>
        <w:jc w:val="both"/>
        <w:rPr>
          <w:rFonts w:cstheme="minorHAnsi"/>
        </w:rPr>
      </w:pPr>
    </w:p>
    <w:p w14:paraId="6579D6C0" w14:textId="77777777" w:rsidR="003270AC" w:rsidRDefault="003270AC" w:rsidP="00F84D20">
      <w:pPr>
        <w:jc w:val="both"/>
        <w:rPr>
          <w:rFonts w:cstheme="minorHAnsi"/>
        </w:rPr>
      </w:pPr>
    </w:p>
    <w:p w14:paraId="26325525" w14:textId="73F923BC" w:rsidR="004E5450" w:rsidRDefault="004E5450" w:rsidP="00F84D20">
      <w:pPr>
        <w:jc w:val="both"/>
        <w:rPr>
          <w:rFonts w:cstheme="minorHAnsi"/>
        </w:rPr>
      </w:pPr>
    </w:p>
    <w:p w14:paraId="37DCE573" w14:textId="77777777" w:rsidR="004E5450" w:rsidRPr="00F84D20" w:rsidRDefault="004E5450" w:rsidP="00F84D20">
      <w:pPr>
        <w:jc w:val="both"/>
        <w:rPr>
          <w:rFonts w:cstheme="minorHAnsi"/>
        </w:rPr>
      </w:pPr>
    </w:p>
    <w:p w14:paraId="34DE57CF" w14:textId="45D320AA" w:rsidR="008C0A82" w:rsidRPr="00B67BBA" w:rsidRDefault="00377E73" w:rsidP="00B67BBA">
      <w:pPr>
        <w:pStyle w:val="Heading1"/>
        <w:spacing w:before="360" w:after="240"/>
        <w:rPr>
          <w:sz w:val="36"/>
          <w:szCs w:val="36"/>
        </w:rPr>
      </w:pPr>
      <w:r>
        <w:rPr>
          <w:sz w:val="36"/>
          <w:szCs w:val="36"/>
        </w:rPr>
        <w:lastRenderedPageBreak/>
        <w:t>Consultation Questions</w:t>
      </w:r>
    </w:p>
    <w:tbl>
      <w:tblPr>
        <w:tblStyle w:val="TableGrid"/>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510"/>
        <w:gridCol w:w="3880"/>
        <w:gridCol w:w="5386"/>
      </w:tblGrid>
      <w:tr w:rsidR="00F84D20" w14:paraId="7509B324" w14:textId="559BAC69" w:rsidTr="00D75ED6">
        <w:trPr>
          <w:trHeight w:val="269"/>
        </w:trPr>
        <w:tc>
          <w:tcPr>
            <w:tcW w:w="510" w:type="dxa"/>
            <w:shd w:val="clear" w:color="auto" w:fill="F2F2F2" w:themeFill="background1" w:themeFillShade="F2"/>
          </w:tcPr>
          <w:p w14:paraId="24B0A894" w14:textId="77777777" w:rsidR="00F84D20" w:rsidRPr="00CB5552" w:rsidRDefault="00F84D20" w:rsidP="00A36B04">
            <w:pPr>
              <w:pStyle w:val="ListParagraph"/>
              <w:numPr>
                <w:ilvl w:val="0"/>
                <w:numId w:val="1"/>
              </w:numPr>
              <w:spacing w:before="80" w:after="80"/>
              <w:rPr>
                <w:b/>
                <w:bCs/>
              </w:rPr>
            </w:pPr>
          </w:p>
        </w:tc>
        <w:tc>
          <w:tcPr>
            <w:tcW w:w="3880" w:type="dxa"/>
            <w:tcBorders>
              <w:right w:val="nil"/>
            </w:tcBorders>
            <w:shd w:val="clear" w:color="auto" w:fill="F2F2F2" w:themeFill="background1" w:themeFillShade="F2"/>
          </w:tcPr>
          <w:p w14:paraId="39CC0954" w14:textId="3B4BC690" w:rsidR="00F84D20" w:rsidRPr="00CB5552" w:rsidRDefault="00F84D20" w:rsidP="00A36B04">
            <w:pPr>
              <w:spacing w:before="80" w:after="80"/>
              <w:rPr>
                <w:b/>
                <w:bCs/>
              </w:rPr>
            </w:pPr>
            <w:r>
              <w:t>Are there examples of uses cases of particular life events or key consumer activities where access to consumer data within or across sectors could significantly improve consumer experience and outcomes? If so, how should such use cases be prioritised?</w:t>
            </w:r>
          </w:p>
        </w:tc>
        <w:tc>
          <w:tcPr>
            <w:tcW w:w="5386" w:type="dxa"/>
          </w:tcPr>
          <w:p w14:paraId="6C0BAAA2" w14:textId="77777777" w:rsidR="003270AC" w:rsidRDefault="00D75ED6" w:rsidP="00D75ED6">
            <w:pPr>
              <w:spacing w:before="80" w:after="80"/>
            </w:pPr>
            <w:r>
              <w:t>Notwithstanding large data sets being created both in the care and wellbeing sectors, there is evidence of poor data use in health</w:t>
            </w:r>
            <w:r w:rsidR="003270AC">
              <w:t xml:space="preserve">. </w:t>
            </w:r>
          </w:p>
          <w:p w14:paraId="0AF69C94" w14:textId="496B608F" w:rsidR="00D75ED6" w:rsidRDefault="003270AC" w:rsidP="00D75ED6">
            <w:pPr>
              <w:spacing w:before="80" w:after="80"/>
            </w:pPr>
            <w:r>
              <w:t>As</w:t>
            </w:r>
            <w:r w:rsidR="00B66376">
              <w:t xml:space="preserve"> mentioned in the Productivity Commission’s report of 2017, relative to our peers overseas, health data is an </w:t>
            </w:r>
            <w:r w:rsidR="00C32778">
              <w:t>underutilised</w:t>
            </w:r>
            <w:r w:rsidR="00B66376">
              <w:t xml:space="preserve"> resource</w:t>
            </w:r>
            <w:r>
              <w:t xml:space="preserve"> with </w:t>
            </w:r>
            <w:r w:rsidR="00D75ED6">
              <w:t xml:space="preserve">Australia </w:t>
            </w:r>
            <w:proofErr w:type="gramStart"/>
            <w:r w:rsidR="00D75ED6">
              <w:t>rank</w:t>
            </w:r>
            <w:r>
              <w:t>ing</w:t>
            </w:r>
            <w:r w:rsidR="00D75ED6">
              <w:t xml:space="preserve"> poorly</w:t>
            </w:r>
            <w:proofErr w:type="gramEnd"/>
            <w:r w:rsidR="00D75ED6">
              <w:t xml:space="preserve"> vis-vis </w:t>
            </w:r>
            <w:r w:rsidR="00F558CB">
              <w:t>similar</w:t>
            </w:r>
            <w:r w:rsidR="00D75ED6">
              <w:t xml:space="preserve"> countries in </w:t>
            </w:r>
            <w:r w:rsidR="00CA4413">
              <w:t xml:space="preserve">consumer </w:t>
            </w:r>
            <w:r w:rsidR="00D75ED6">
              <w:t xml:space="preserve">data access and sharing. </w:t>
            </w:r>
          </w:p>
          <w:p w14:paraId="13B883D2" w14:textId="142615BF" w:rsidR="00CA4413" w:rsidRDefault="00441D41" w:rsidP="00D75ED6">
            <w:pPr>
              <w:spacing w:before="80" w:after="80"/>
            </w:pPr>
            <w:r>
              <w:t xml:space="preserve">A </w:t>
            </w:r>
            <w:r w:rsidR="00CA4413">
              <w:t xml:space="preserve">few pre-requisites </w:t>
            </w:r>
            <w:r w:rsidR="003270AC">
              <w:t xml:space="preserve">are </w:t>
            </w:r>
            <w:r w:rsidR="00CA4413">
              <w:t>needed</w:t>
            </w:r>
            <w:r>
              <w:t xml:space="preserve"> before priorities can be set for CDR:</w:t>
            </w:r>
          </w:p>
          <w:p w14:paraId="0D6A3871" w14:textId="30BEAFB0" w:rsidR="003270AC" w:rsidRDefault="003270AC" w:rsidP="003270AC">
            <w:pPr>
              <w:pStyle w:val="ListParagraph"/>
              <w:numPr>
                <w:ilvl w:val="0"/>
                <w:numId w:val="9"/>
              </w:numPr>
              <w:spacing w:before="80" w:after="80"/>
              <w:ind w:left="357" w:hanging="357"/>
              <w:contextualSpacing w:val="0"/>
            </w:pPr>
            <w:r>
              <w:t>e</w:t>
            </w:r>
            <w:r w:rsidR="00CA4413">
              <w:t xml:space="preserve">vidence of </w:t>
            </w:r>
            <w:r w:rsidR="00DB298E">
              <w:t xml:space="preserve">demonstrable </w:t>
            </w:r>
            <w:r w:rsidR="00CA4413">
              <w:t xml:space="preserve">consumer </w:t>
            </w:r>
            <w:r w:rsidR="00DB298E">
              <w:t xml:space="preserve">benefit for sectoral use cases where there are identified </w:t>
            </w:r>
            <w:r w:rsidR="00441D41">
              <w:t>‘</w:t>
            </w:r>
            <w:r w:rsidR="00DB298E">
              <w:t>valuable</w:t>
            </w:r>
            <w:r w:rsidR="00441D41">
              <w:t xml:space="preserve">’ </w:t>
            </w:r>
            <w:r w:rsidR="00DB298E">
              <w:t>data sets being collected</w:t>
            </w:r>
          </w:p>
          <w:p w14:paraId="53FBE70F" w14:textId="0FF8C280" w:rsidR="00D75ED6" w:rsidRDefault="003270AC" w:rsidP="003270AC">
            <w:pPr>
              <w:pStyle w:val="ListParagraph"/>
              <w:numPr>
                <w:ilvl w:val="0"/>
                <w:numId w:val="9"/>
              </w:numPr>
              <w:spacing w:before="80" w:after="80"/>
              <w:ind w:left="357" w:hanging="357"/>
              <w:contextualSpacing w:val="0"/>
            </w:pPr>
            <w:r>
              <w:t>i</w:t>
            </w:r>
            <w:r w:rsidR="00DB298E">
              <w:t>nitial cost benefit analysis for consumers and business/economy</w:t>
            </w:r>
          </w:p>
          <w:p w14:paraId="3965B04B" w14:textId="238E96C6" w:rsidR="00DB298E" w:rsidRDefault="003270AC" w:rsidP="003270AC">
            <w:pPr>
              <w:pStyle w:val="ListParagraph"/>
              <w:numPr>
                <w:ilvl w:val="0"/>
                <w:numId w:val="9"/>
              </w:numPr>
              <w:spacing w:before="80" w:after="80"/>
              <w:ind w:left="357" w:hanging="357"/>
              <w:contextualSpacing w:val="0"/>
            </w:pPr>
            <w:r>
              <w:t>i</w:t>
            </w:r>
            <w:r w:rsidR="00DB298E">
              <w:t>nitial identification of barriers to implement</w:t>
            </w:r>
            <w:r w:rsidR="00F852C6">
              <w:t xml:space="preserve"> and time constraints</w:t>
            </w:r>
          </w:p>
          <w:p w14:paraId="50321461" w14:textId="61F59AC8" w:rsidR="00F852C6" w:rsidRDefault="003270AC" w:rsidP="003270AC">
            <w:pPr>
              <w:pStyle w:val="ListParagraph"/>
              <w:numPr>
                <w:ilvl w:val="0"/>
                <w:numId w:val="9"/>
              </w:numPr>
              <w:spacing w:before="80" w:after="80"/>
            </w:pPr>
            <w:r>
              <w:t>r</w:t>
            </w:r>
            <w:r w:rsidR="00F852C6">
              <w:t>elative value to consumers and the economy across the various use cases</w:t>
            </w:r>
            <w:r>
              <w:t>.</w:t>
            </w:r>
          </w:p>
        </w:tc>
      </w:tr>
      <w:tr w:rsidR="00F84D20" w14:paraId="3841AE3E" w14:textId="2C44BE15" w:rsidTr="00D75ED6">
        <w:trPr>
          <w:trHeight w:val="269"/>
        </w:trPr>
        <w:tc>
          <w:tcPr>
            <w:tcW w:w="510" w:type="dxa"/>
            <w:shd w:val="clear" w:color="auto" w:fill="F2F2F2" w:themeFill="background1" w:themeFillShade="F2"/>
          </w:tcPr>
          <w:p w14:paraId="381FF2F8" w14:textId="18C08567" w:rsidR="00F84D20" w:rsidRPr="00A36B04" w:rsidRDefault="00F84D20" w:rsidP="00A36B04">
            <w:pPr>
              <w:spacing w:before="80" w:after="80"/>
              <w:rPr>
                <w:b/>
                <w:bCs/>
              </w:rPr>
            </w:pPr>
            <w:r w:rsidRPr="00A36B04">
              <w:rPr>
                <w:b/>
                <w:bCs/>
              </w:rPr>
              <w:t>2.</w:t>
            </w:r>
          </w:p>
        </w:tc>
        <w:tc>
          <w:tcPr>
            <w:tcW w:w="3880" w:type="dxa"/>
            <w:tcBorders>
              <w:right w:val="nil"/>
            </w:tcBorders>
            <w:shd w:val="clear" w:color="auto" w:fill="F2F2F2" w:themeFill="background1" w:themeFillShade="F2"/>
          </w:tcPr>
          <w:p w14:paraId="102A6624" w14:textId="271B41FA" w:rsidR="00F84D20" w:rsidRPr="00A36B04" w:rsidRDefault="00F84D20" w:rsidP="0023077B">
            <w:pPr>
              <w:spacing w:before="80" w:after="60"/>
              <w:rPr>
                <w:b/>
                <w:bCs/>
              </w:rPr>
            </w:pPr>
            <w:r>
              <w:t>Are there particular important datasets that have cross-cutting benefits and could support a range of important use cases both within and across sectors</w:t>
            </w:r>
          </w:p>
        </w:tc>
        <w:tc>
          <w:tcPr>
            <w:tcW w:w="5386" w:type="dxa"/>
          </w:tcPr>
          <w:p w14:paraId="643CF43C" w14:textId="6F1021DC" w:rsidR="00F84D20" w:rsidRDefault="00DB298E" w:rsidP="00321BD3">
            <w:pPr>
              <w:spacing w:before="80" w:after="60"/>
            </w:pPr>
            <w:r>
              <w:t xml:space="preserve">There are many possible consumer data sets that could have cross-cutting benefits, including finance, asset ownership, </w:t>
            </w:r>
            <w:r w:rsidR="007B56AA">
              <w:t xml:space="preserve">water and energy use, </w:t>
            </w:r>
            <w:r w:rsidR="00B66376">
              <w:t xml:space="preserve">health and services for the aging, </w:t>
            </w:r>
            <w:r w:rsidR="007B56AA">
              <w:t xml:space="preserve">for example. These would provide a necessary but </w:t>
            </w:r>
            <w:r w:rsidR="003270AC">
              <w:t>in</w:t>
            </w:r>
            <w:r w:rsidR="007B56AA">
              <w:t>sufficient condition for determining whether</w:t>
            </w:r>
            <w:r w:rsidR="003270AC">
              <w:t xml:space="preserve"> developing</w:t>
            </w:r>
            <w:r w:rsidR="007B56AA">
              <w:t xml:space="preserve"> a CDR would be of benefit</w:t>
            </w:r>
            <w:r w:rsidR="003270AC">
              <w:t>.</w:t>
            </w:r>
          </w:p>
        </w:tc>
      </w:tr>
      <w:tr w:rsidR="00F84D20" w14:paraId="32F67CB4" w14:textId="11727C04" w:rsidTr="00D75ED6">
        <w:trPr>
          <w:trHeight w:val="269"/>
        </w:trPr>
        <w:tc>
          <w:tcPr>
            <w:tcW w:w="510" w:type="dxa"/>
            <w:tcBorders>
              <w:right w:val="nil"/>
            </w:tcBorders>
            <w:shd w:val="clear" w:color="auto" w:fill="F2F2F2" w:themeFill="background1" w:themeFillShade="F2"/>
          </w:tcPr>
          <w:p w14:paraId="1E89B01E" w14:textId="074D1B15" w:rsidR="00F84D20" w:rsidRPr="00A36B04" w:rsidRDefault="00F84D20" w:rsidP="00A36B04">
            <w:pPr>
              <w:spacing w:before="80" w:after="80"/>
              <w:rPr>
                <w:b/>
                <w:bCs/>
              </w:rPr>
            </w:pPr>
            <w:r>
              <w:rPr>
                <w:b/>
                <w:bCs/>
              </w:rPr>
              <w:t>3.</w:t>
            </w:r>
          </w:p>
        </w:tc>
        <w:tc>
          <w:tcPr>
            <w:tcW w:w="3880" w:type="dxa"/>
            <w:tcBorders>
              <w:left w:val="nil"/>
              <w:bottom w:val="single" w:sz="4" w:space="0" w:color="BFBFBF" w:themeColor="background1" w:themeShade="BF"/>
              <w:right w:val="nil"/>
            </w:tcBorders>
            <w:shd w:val="clear" w:color="auto" w:fill="F2F2F2" w:themeFill="background1" w:themeFillShade="F2"/>
          </w:tcPr>
          <w:p w14:paraId="4AC65245" w14:textId="2A71A73B" w:rsidR="00F84D20" w:rsidRPr="00A36B04" w:rsidRDefault="00F84D20" w:rsidP="00A36B04">
            <w:pPr>
              <w:spacing w:before="80" w:after="80"/>
              <w:rPr>
                <w:b/>
                <w:bCs/>
              </w:rPr>
            </w:pPr>
            <w:r>
              <w:t>What are the top consumer issues that improved access</w:t>
            </w:r>
            <w:r w:rsidR="00DB298E">
              <w:t xml:space="preserve"> </w:t>
            </w:r>
            <w:r>
              <w:t>to consumer and product data could help with? In other words, what are some of the significant or innovative use cases</w:t>
            </w:r>
            <w:r w:rsidR="007B56AA">
              <w:t xml:space="preserve"> </w:t>
            </w:r>
            <w:r>
              <w:t>in an economy-wide CDR? Why are they important? For example, are there use cases which would improve the welfare of, or ability to access services and improve participation by vulnerable or disadvantaged consumers?</w:t>
            </w:r>
          </w:p>
        </w:tc>
        <w:tc>
          <w:tcPr>
            <w:tcW w:w="5386" w:type="dxa"/>
          </w:tcPr>
          <w:p w14:paraId="058375C2" w14:textId="56DDEB36" w:rsidR="00F852C6" w:rsidRDefault="00F852C6" w:rsidP="00A36B04">
            <w:pPr>
              <w:spacing w:before="80" w:after="80"/>
            </w:pPr>
            <w:r>
              <w:t xml:space="preserve">A top-down analysis is needed before such a list can be defined. </w:t>
            </w:r>
          </w:p>
          <w:p w14:paraId="37973D0F" w14:textId="7CF1C525" w:rsidR="003270AC" w:rsidRDefault="007B56AA" w:rsidP="00A36B04">
            <w:pPr>
              <w:spacing w:before="80" w:after="80"/>
            </w:pPr>
            <w:r>
              <w:t>Improved at home, pre-care, care and post-care for wellbeing and health seem</w:t>
            </w:r>
            <w:r w:rsidR="003B5B3B">
              <w:t xml:space="preserve">s </w:t>
            </w:r>
            <w:r>
              <w:t>to be</w:t>
            </w:r>
            <w:r w:rsidR="003B5B3B">
              <w:t xml:space="preserve"> (at least on the surface)</w:t>
            </w:r>
            <w:r>
              <w:t xml:space="preserve"> significant for consumer benefit </w:t>
            </w:r>
            <w:r w:rsidR="003B5B3B">
              <w:t>and</w:t>
            </w:r>
            <w:r>
              <w:t xml:space="preserve"> economic impact. </w:t>
            </w:r>
            <w:r w:rsidR="005D7C20">
              <w:t xml:space="preserve"> </w:t>
            </w:r>
          </w:p>
          <w:p w14:paraId="56D33843" w14:textId="71254F08" w:rsidR="003270AC" w:rsidRDefault="005D7C20" w:rsidP="00A36B04">
            <w:pPr>
              <w:spacing w:before="80" w:after="80"/>
            </w:pPr>
            <w:r>
              <w:t xml:space="preserve">Bringing together consumer data with other data can </w:t>
            </w:r>
            <w:r w:rsidR="00C32778">
              <w:t>spur</w:t>
            </w:r>
            <w:r>
              <w:t xml:space="preserve"> innovation in delivering a step</w:t>
            </w:r>
            <w:r w:rsidR="003270AC">
              <w:t>-</w:t>
            </w:r>
            <w:r>
              <w:t xml:space="preserve">change in services, better meeting consumer needs as well as more effective and faster decision-making for consumers and service providers.  </w:t>
            </w:r>
          </w:p>
          <w:p w14:paraId="700C4D3D" w14:textId="3F55E79C" w:rsidR="00F84D20" w:rsidRDefault="005D7C20" w:rsidP="00A36B04">
            <w:pPr>
              <w:spacing w:before="80" w:after="80"/>
            </w:pPr>
            <w:r>
              <w:t>For example</w:t>
            </w:r>
            <w:r w:rsidR="003270AC">
              <w:t>,</w:t>
            </w:r>
            <w:r>
              <w:t xml:space="preserve"> accessing </w:t>
            </w:r>
            <w:r w:rsidR="00AA0B2D">
              <w:t xml:space="preserve">individual </w:t>
            </w:r>
            <w:r>
              <w:t xml:space="preserve">customer health data </w:t>
            </w:r>
            <w:r w:rsidR="00AA0B2D">
              <w:t xml:space="preserve">from data sets </w:t>
            </w:r>
            <w:r>
              <w:t xml:space="preserve">across a community </w:t>
            </w:r>
            <w:r w:rsidR="00AA0B2D">
              <w:t xml:space="preserve">combined </w:t>
            </w:r>
            <w:r>
              <w:t>with geographic and other health-related information</w:t>
            </w:r>
            <w:r w:rsidR="003B5B3B">
              <w:t>,</w:t>
            </w:r>
            <w:r>
              <w:t xml:space="preserve"> can help drive better</w:t>
            </w:r>
            <w:r w:rsidR="003B5B3B">
              <w:t>-</w:t>
            </w:r>
            <w:r>
              <w:t xml:space="preserve">targeted programs that are more </w:t>
            </w:r>
            <w:r w:rsidR="003B5B3B">
              <w:t>in tune with the</w:t>
            </w:r>
            <w:r>
              <w:t xml:space="preserve"> socio-economic </w:t>
            </w:r>
            <w:r w:rsidR="00C32778">
              <w:t>factors and</w:t>
            </w:r>
            <w:r>
              <w:t xml:space="preserve"> ethnic diversity issues</w:t>
            </w:r>
            <w:r w:rsidR="00AA0B2D">
              <w:t xml:space="preserve"> </w:t>
            </w:r>
            <w:r>
              <w:t>that impact health outcomes</w:t>
            </w:r>
            <w:r w:rsidR="003B5B3B">
              <w:t>.</w:t>
            </w:r>
          </w:p>
        </w:tc>
      </w:tr>
      <w:tr w:rsidR="00F84D20" w14:paraId="3E6BAF35" w14:textId="22FC084F" w:rsidTr="00D75ED6">
        <w:trPr>
          <w:trHeight w:val="269"/>
        </w:trPr>
        <w:tc>
          <w:tcPr>
            <w:tcW w:w="510" w:type="dxa"/>
            <w:tcBorders>
              <w:right w:val="nil"/>
            </w:tcBorders>
            <w:shd w:val="clear" w:color="auto" w:fill="F2F2F2" w:themeFill="background1" w:themeFillShade="F2"/>
          </w:tcPr>
          <w:p w14:paraId="71E52B1C" w14:textId="79BC0C3B" w:rsidR="00F84D20" w:rsidRPr="00A36B04" w:rsidRDefault="00F84D20" w:rsidP="00A36B04">
            <w:pPr>
              <w:spacing w:before="80" w:after="80"/>
              <w:rPr>
                <w:b/>
                <w:bCs/>
              </w:rPr>
            </w:pPr>
            <w:r>
              <w:rPr>
                <w:b/>
                <w:bCs/>
              </w:rPr>
              <w:lastRenderedPageBreak/>
              <w:t>4.</w:t>
            </w:r>
          </w:p>
        </w:tc>
        <w:tc>
          <w:tcPr>
            <w:tcW w:w="3880" w:type="dxa"/>
            <w:tcBorders>
              <w:left w:val="nil"/>
              <w:right w:val="nil"/>
            </w:tcBorders>
            <w:shd w:val="clear" w:color="auto" w:fill="F2F2F2" w:themeFill="background1" w:themeFillShade="F2"/>
          </w:tcPr>
          <w:p w14:paraId="351AD185" w14:textId="22A162C3" w:rsidR="00F84D20" w:rsidRPr="00A36B04" w:rsidRDefault="00F84D20" w:rsidP="00091042">
            <w:pPr>
              <w:spacing w:before="80" w:after="240"/>
              <w:rPr>
                <w:b/>
                <w:bCs/>
              </w:rPr>
            </w:pPr>
            <w:r>
              <w:t>What consumer or product data is required to bring these use cases to life?</w:t>
            </w:r>
          </w:p>
        </w:tc>
        <w:tc>
          <w:tcPr>
            <w:tcW w:w="5386" w:type="dxa"/>
          </w:tcPr>
          <w:p w14:paraId="39D78EF3" w14:textId="5DA30F55" w:rsidR="00F84D20" w:rsidRPr="002B24FB" w:rsidRDefault="00F852C6" w:rsidP="008C5A9B">
            <w:pPr>
              <w:spacing w:before="80" w:after="60"/>
            </w:pPr>
            <w:r>
              <w:t>Dependent on prioritised sectoral use cases (and evident availability of relevant data sets)</w:t>
            </w:r>
            <w:r w:rsidR="00AA0B2D">
              <w:t xml:space="preserve">.  </w:t>
            </w:r>
          </w:p>
        </w:tc>
      </w:tr>
      <w:tr w:rsidR="00F84D20" w14:paraId="372C1EBF" w14:textId="1D93C85C" w:rsidTr="00D75ED6">
        <w:trPr>
          <w:trHeight w:val="269"/>
        </w:trPr>
        <w:tc>
          <w:tcPr>
            <w:tcW w:w="510" w:type="dxa"/>
            <w:tcBorders>
              <w:right w:val="nil"/>
            </w:tcBorders>
            <w:shd w:val="clear" w:color="auto" w:fill="F2F2F2" w:themeFill="background1" w:themeFillShade="F2"/>
          </w:tcPr>
          <w:p w14:paraId="2DE4BF1C" w14:textId="053FA7EC" w:rsidR="00F84D20" w:rsidRPr="00A36B04" w:rsidRDefault="00F84D20" w:rsidP="00377E73">
            <w:pPr>
              <w:spacing w:before="80" w:after="80"/>
              <w:rPr>
                <w:b/>
                <w:bCs/>
              </w:rPr>
            </w:pPr>
            <w:r w:rsidRPr="00A36B04">
              <w:rPr>
                <w:b/>
                <w:bCs/>
              </w:rPr>
              <w:t>5.</w:t>
            </w:r>
          </w:p>
        </w:tc>
        <w:tc>
          <w:tcPr>
            <w:tcW w:w="3880" w:type="dxa"/>
            <w:tcBorders>
              <w:left w:val="nil"/>
              <w:bottom w:val="single" w:sz="4" w:space="0" w:color="BFBFBF" w:themeColor="background1" w:themeShade="BF"/>
              <w:right w:val="nil"/>
            </w:tcBorders>
            <w:shd w:val="clear" w:color="auto" w:fill="F2F2F2" w:themeFill="background1" w:themeFillShade="F2"/>
          </w:tcPr>
          <w:p w14:paraId="442D5AA5" w14:textId="0B401BEB" w:rsidR="00F84D20" w:rsidRPr="00A36B04" w:rsidRDefault="00F84D20" w:rsidP="00377E73">
            <w:pPr>
              <w:spacing w:before="80" w:after="80"/>
              <w:rPr>
                <w:b/>
                <w:bCs/>
              </w:rPr>
            </w:pPr>
            <w:r>
              <w:t>Would prioritising access to a particular sector or dataset facilitate faster adoption or improve efficiency of expansion of the CDR? Are there sectors where significant data sharing is already occurring? If so, would applying the CDR improve this or provide additional benefits such as greater standardisation?</w:t>
            </w:r>
          </w:p>
        </w:tc>
        <w:tc>
          <w:tcPr>
            <w:tcW w:w="5386" w:type="dxa"/>
          </w:tcPr>
          <w:p w14:paraId="6646D28C" w14:textId="79252815" w:rsidR="00F84D20" w:rsidRDefault="00F852C6" w:rsidP="00377E73">
            <w:pPr>
              <w:spacing w:before="80" w:after="80"/>
            </w:pPr>
            <w:r>
              <w:t xml:space="preserve">CDR would seem to be part of a broader </w:t>
            </w:r>
            <w:r w:rsidR="00C5192C">
              <w:t xml:space="preserve">government </w:t>
            </w:r>
            <w:r>
              <w:t>consumer and economic toolkit for data access</w:t>
            </w:r>
            <w:r w:rsidR="00C5192C">
              <w:t>,</w:t>
            </w:r>
            <w:r>
              <w:t xml:space="preserve"> management</w:t>
            </w:r>
            <w:r w:rsidR="00C5192C">
              <w:t xml:space="preserve"> and better competition outcomes for consumers.</w:t>
            </w:r>
          </w:p>
          <w:p w14:paraId="497A4138" w14:textId="53900A8B" w:rsidR="00F852C6" w:rsidRDefault="00F852C6" w:rsidP="00377E73">
            <w:pPr>
              <w:spacing w:before="80" w:after="80"/>
            </w:pPr>
            <w:r>
              <w:t xml:space="preserve">How the other tools </w:t>
            </w:r>
            <w:proofErr w:type="gramStart"/>
            <w:r>
              <w:t>e.g.</w:t>
            </w:r>
            <w:proofErr w:type="gramEnd"/>
            <w:r>
              <w:t xml:space="preserve"> data sharing frameworks, user identity etc</w:t>
            </w:r>
            <w:r w:rsidR="00B51A71">
              <w:t>.</w:t>
            </w:r>
            <w:r>
              <w:t xml:space="preserve"> work with CDR needs to be holistically considered in order to answer this question</w:t>
            </w:r>
            <w:r w:rsidR="003B5B3B">
              <w:t xml:space="preserve"> in a meaningful way.</w:t>
            </w:r>
          </w:p>
        </w:tc>
      </w:tr>
      <w:tr w:rsidR="00F84D20" w14:paraId="5665AB87" w14:textId="7224EC57" w:rsidTr="00D75ED6">
        <w:trPr>
          <w:trHeight w:val="269"/>
        </w:trPr>
        <w:tc>
          <w:tcPr>
            <w:tcW w:w="510" w:type="dxa"/>
            <w:tcBorders>
              <w:right w:val="nil"/>
            </w:tcBorders>
            <w:shd w:val="clear" w:color="auto" w:fill="F2F2F2" w:themeFill="background1" w:themeFillShade="F2"/>
          </w:tcPr>
          <w:p w14:paraId="60B52E01" w14:textId="068776C6" w:rsidR="00F84D20" w:rsidRPr="00C13BF0" w:rsidRDefault="00F84D20" w:rsidP="00A36B04">
            <w:pPr>
              <w:spacing w:before="80" w:after="80"/>
              <w:rPr>
                <w:b/>
                <w:bCs/>
              </w:rPr>
            </w:pPr>
            <w:r w:rsidRPr="00C13BF0">
              <w:rPr>
                <w:b/>
                <w:bCs/>
              </w:rPr>
              <w:t>6.</w:t>
            </w:r>
          </w:p>
        </w:tc>
        <w:tc>
          <w:tcPr>
            <w:tcW w:w="3880" w:type="dxa"/>
            <w:tcBorders>
              <w:left w:val="nil"/>
              <w:bottom w:val="single" w:sz="4" w:space="0" w:color="BFBFBF" w:themeColor="background1" w:themeShade="BF"/>
              <w:right w:val="nil"/>
            </w:tcBorders>
            <w:shd w:val="clear" w:color="auto" w:fill="F2F2F2" w:themeFill="background1" w:themeFillShade="F2"/>
          </w:tcPr>
          <w:p w14:paraId="32A468BE" w14:textId="38BD94D0" w:rsidR="00F84D20" w:rsidRPr="00236B3C" w:rsidRDefault="00F84D20" w:rsidP="00A36B04">
            <w:pPr>
              <w:spacing w:before="80" w:after="80"/>
              <w:rPr>
                <w:b/>
                <w:bCs/>
                <w:sz w:val="20"/>
                <w:szCs w:val="20"/>
              </w:rPr>
            </w:pPr>
            <w:r>
              <w:t>What are the more useful datasets for designation or examples of specific compelling datasets which providers across sectors could especially benefit from? Are there richer opportunities for consumer benefit where datasets from multiple sectors are combined?</w:t>
            </w:r>
          </w:p>
        </w:tc>
        <w:tc>
          <w:tcPr>
            <w:tcW w:w="5386" w:type="dxa"/>
          </w:tcPr>
          <w:p w14:paraId="0D8BAE22" w14:textId="0CA4F5C8" w:rsidR="00F84D20" w:rsidRDefault="00F852C6" w:rsidP="00A36B04">
            <w:pPr>
              <w:spacing w:before="80" w:after="80"/>
            </w:pPr>
            <w:r>
              <w:t>See 4 above</w:t>
            </w:r>
          </w:p>
        </w:tc>
      </w:tr>
      <w:tr w:rsidR="00F84D20" w14:paraId="539DE6D1" w14:textId="42A410D0" w:rsidTr="00D75ED6">
        <w:trPr>
          <w:trHeight w:val="269"/>
        </w:trPr>
        <w:tc>
          <w:tcPr>
            <w:tcW w:w="510" w:type="dxa"/>
            <w:tcBorders>
              <w:right w:val="nil"/>
            </w:tcBorders>
            <w:shd w:val="clear" w:color="auto" w:fill="F2F2F2" w:themeFill="background1" w:themeFillShade="F2"/>
          </w:tcPr>
          <w:p w14:paraId="62B0DBC8" w14:textId="09A2FD68" w:rsidR="00F84D20" w:rsidRPr="00C13BF0" w:rsidRDefault="00F84D20" w:rsidP="00A36B04">
            <w:pPr>
              <w:spacing w:before="80" w:after="80"/>
              <w:rPr>
                <w:b/>
                <w:bCs/>
              </w:rPr>
            </w:pPr>
            <w:r w:rsidRPr="00C13BF0">
              <w:rPr>
                <w:b/>
                <w:bCs/>
              </w:rPr>
              <w:t>7.</w:t>
            </w:r>
          </w:p>
        </w:tc>
        <w:tc>
          <w:tcPr>
            <w:tcW w:w="3880" w:type="dxa"/>
            <w:tcBorders>
              <w:left w:val="nil"/>
              <w:right w:val="nil"/>
            </w:tcBorders>
            <w:shd w:val="clear" w:color="auto" w:fill="F2F2F2" w:themeFill="background1" w:themeFillShade="F2"/>
          </w:tcPr>
          <w:p w14:paraId="1572317D" w14:textId="5E39131B" w:rsidR="00F84D20" w:rsidRPr="00C13BF0" w:rsidRDefault="00F84D20" w:rsidP="003043C3">
            <w:pPr>
              <w:spacing w:before="80" w:after="60"/>
              <w:rPr>
                <w:b/>
                <w:bCs/>
              </w:rPr>
            </w:pPr>
            <w:r>
              <w:t>Is the CDR the appropriate path to support these various potential use cases, or are there are other solutions available?</w:t>
            </w:r>
          </w:p>
        </w:tc>
        <w:tc>
          <w:tcPr>
            <w:tcW w:w="5386" w:type="dxa"/>
          </w:tcPr>
          <w:p w14:paraId="2B25D9D3" w14:textId="5A488EC7" w:rsidR="00F84D20" w:rsidRPr="00C0274B" w:rsidRDefault="00F852C6" w:rsidP="00091042">
            <w:pPr>
              <w:spacing w:before="80" w:after="240"/>
            </w:pPr>
            <w:r>
              <w:t>See 5 above</w:t>
            </w:r>
          </w:p>
        </w:tc>
      </w:tr>
      <w:tr w:rsidR="00F84D20" w14:paraId="2F03984D" w14:textId="66223A75" w:rsidTr="00D75ED6">
        <w:trPr>
          <w:trHeight w:val="269"/>
        </w:trPr>
        <w:tc>
          <w:tcPr>
            <w:tcW w:w="510" w:type="dxa"/>
            <w:tcBorders>
              <w:right w:val="nil"/>
            </w:tcBorders>
            <w:shd w:val="clear" w:color="auto" w:fill="F2F2F2" w:themeFill="background1" w:themeFillShade="F2"/>
          </w:tcPr>
          <w:p w14:paraId="4AD1FAE0" w14:textId="75AF403A" w:rsidR="00F84D20" w:rsidRPr="00C13BF0" w:rsidRDefault="00F84D20" w:rsidP="00091042">
            <w:pPr>
              <w:spacing w:before="80" w:after="240"/>
              <w:rPr>
                <w:b/>
                <w:bCs/>
              </w:rPr>
            </w:pPr>
            <w:r w:rsidRPr="00C13BF0">
              <w:rPr>
                <w:b/>
                <w:bCs/>
              </w:rPr>
              <w:t>8.</w:t>
            </w:r>
          </w:p>
        </w:tc>
        <w:tc>
          <w:tcPr>
            <w:tcW w:w="3880" w:type="dxa"/>
            <w:tcBorders>
              <w:left w:val="nil"/>
              <w:bottom w:val="single" w:sz="4" w:space="0" w:color="BFBFBF" w:themeColor="background1" w:themeShade="BF"/>
              <w:right w:val="nil"/>
            </w:tcBorders>
            <w:shd w:val="clear" w:color="auto" w:fill="F2F2F2" w:themeFill="background1" w:themeFillShade="F2"/>
          </w:tcPr>
          <w:p w14:paraId="6BACC886" w14:textId="4B09D8AA" w:rsidR="00F84D20" w:rsidRPr="00C13BF0" w:rsidRDefault="00F84D20" w:rsidP="00091042">
            <w:pPr>
              <w:spacing w:before="80" w:after="240"/>
              <w:rPr>
                <w:b/>
                <w:bCs/>
              </w:rPr>
            </w:pPr>
            <w:r>
              <w:t>Are there sectors with competition issues which would more readily benefit from reductions of data-related barriers? For example, to facilitate providers responding to competitive pressure by improving products and services, new market entries or increased transparency.</w:t>
            </w:r>
          </w:p>
        </w:tc>
        <w:tc>
          <w:tcPr>
            <w:tcW w:w="5386" w:type="dxa"/>
          </w:tcPr>
          <w:p w14:paraId="1CE2A6E2" w14:textId="77777777" w:rsidR="00EA4583" w:rsidRDefault="00016A5A" w:rsidP="004E757D">
            <w:pPr>
              <w:spacing w:before="80" w:after="80"/>
            </w:pPr>
            <w:r>
              <w:t>Hard to answer this without considerable work</w:t>
            </w:r>
            <w:r w:rsidR="00B51A71">
              <w:t xml:space="preserve"> assessing sectors where data access </w:t>
            </w:r>
            <w:r w:rsidR="00C32778">
              <w:t>creates</w:t>
            </w:r>
            <w:r w:rsidR="00B51A71">
              <w:t xml:space="preserve"> barriers to competition</w:t>
            </w:r>
            <w:r>
              <w:t>.</w:t>
            </w:r>
            <w:r w:rsidR="00B51A71">
              <w:t xml:space="preserve">  </w:t>
            </w:r>
          </w:p>
          <w:p w14:paraId="6433066D" w14:textId="56A955BD" w:rsidR="00F84D20" w:rsidRDefault="00B51A71" w:rsidP="004E757D">
            <w:pPr>
              <w:spacing w:before="80" w:after="80"/>
            </w:pPr>
            <w:r>
              <w:t>This assessment would benefit from looking at data sharing and consumer accessibility to their data in countries</w:t>
            </w:r>
            <w:r w:rsidR="003B5B3B">
              <w:t xml:space="preserve"> </w:t>
            </w:r>
            <w:proofErr w:type="gramStart"/>
            <w:r w:rsidR="00073631">
              <w:t>similar</w:t>
            </w:r>
            <w:r>
              <w:t xml:space="preserve"> to</w:t>
            </w:r>
            <w:proofErr w:type="gramEnd"/>
            <w:r>
              <w:t xml:space="preserve"> Australia to </w:t>
            </w:r>
            <w:r w:rsidR="003B5B3B">
              <w:t xml:space="preserve">determine areas </w:t>
            </w:r>
            <w:r>
              <w:t>where Australia is lagging.</w:t>
            </w:r>
          </w:p>
          <w:p w14:paraId="4A298D4B" w14:textId="110F4521" w:rsidR="00016A5A" w:rsidRDefault="00016A5A" w:rsidP="004E757D">
            <w:pPr>
              <w:spacing w:before="80" w:after="80"/>
            </w:pPr>
            <w:r>
              <w:t xml:space="preserve">Most sectors will have competition issues of some degree and might benefit from reduction of data-related barriers. From </w:t>
            </w:r>
            <w:r w:rsidR="00073631">
              <w:t>a</w:t>
            </w:r>
            <w:r>
              <w:t xml:space="preserve"> consumer </w:t>
            </w:r>
            <w:r w:rsidR="000F13D1">
              <w:t>perspective,</w:t>
            </w:r>
            <w:r>
              <w:t xml:space="preserve"> whether CDR is the relevant tool to improve competitiveness is not clear.</w:t>
            </w:r>
          </w:p>
        </w:tc>
      </w:tr>
      <w:tr w:rsidR="00F84D20" w14:paraId="6846DE7C" w14:textId="77777777" w:rsidTr="00D75ED6">
        <w:trPr>
          <w:trHeight w:val="269"/>
        </w:trPr>
        <w:tc>
          <w:tcPr>
            <w:tcW w:w="510" w:type="dxa"/>
            <w:tcBorders>
              <w:right w:val="nil"/>
            </w:tcBorders>
            <w:shd w:val="clear" w:color="auto" w:fill="F2F2F2" w:themeFill="background1" w:themeFillShade="F2"/>
          </w:tcPr>
          <w:p w14:paraId="0919F410" w14:textId="40934525" w:rsidR="00F84D20" w:rsidRPr="00C13BF0" w:rsidRDefault="00F84D20" w:rsidP="00091042">
            <w:pPr>
              <w:spacing w:before="80" w:after="240"/>
              <w:rPr>
                <w:b/>
                <w:bCs/>
              </w:rPr>
            </w:pPr>
            <w:r w:rsidRPr="00C13BF0">
              <w:rPr>
                <w:b/>
                <w:bCs/>
              </w:rPr>
              <w:t>9.</w:t>
            </w:r>
          </w:p>
        </w:tc>
        <w:tc>
          <w:tcPr>
            <w:tcW w:w="3880" w:type="dxa"/>
            <w:tcBorders>
              <w:left w:val="nil"/>
              <w:bottom w:val="single" w:sz="4" w:space="0" w:color="BFBFBF" w:themeColor="background1" w:themeShade="BF"/>
              <w:right w:val="nil"/>
            </w:tcBorders>
            <w:shd w:val="clear" w:color="auto" w:fill="F2F2F2" w:themeFill="background1" w:themeFillShade="F2"/>
          </w:tcPr>
          <w:p w14:paraId="43B4C947" w14:textId="7C781C20" w:rsidR="00F84D20" w:rsidRPr="00C13BF0" w:rsidRDefault="00F84D20" w:rsidP="00091042">
            <w:pPr>
              <w:spacing w:before="80" w:after="80"/>
              <w:rPr>
                <w:b/>
                <w:bCs/>
              </w:rPr>
            </w:pPr>
            <w:r>
              <w:t>Which sector market’s efficiency could be improved by making consumer and product data readily transferable to other providers? Are there sectors where there is currently a high transaction cost to release and disperse this data that the CDR could address?</w:t>
            </w:r>
          </w:p>
        </w:tc>
        <w:tc>
          <w:tcPr>
            <w:tcW w:w="5386" w:type="dxa"/>
          </w:tcPr>
          <w:p w14:paraId="06B4FC7C" w14:textId="740AC938" w:rsidR="00F84D20" w:rsidRPr="00AB0C7D" w:rsidRDefault="00F84D20" w:rsidP="00A36B04">
            <w:pPr>
              <w:spacing w:before="80" w:after="80"/>
            </w:pPr>
            <w:r w:rsidRPr="00AB0C7D">
              <w:t xml:space="preserve"> </w:t>
            </w:r>
            <w:r w:rsidR="00016A5A">
              <w:t>See 1 above</w:t>
            </w:r>
          </w:p>
        </w:tc>
      </w:tr>
      <w:tr w:rsidR="00F84D20" w14:paraId="76F921AF" w14:textId="77777777" w:rsidTr="00D75ED6">
        <w:trPr>
          <w:trHeight w:val="269"/>
        </w:trPr>
        <w:tc>
          <w:tcPr>
            <w:tcW w:w="510" w:type="dxa"/>
            <w:tcBorders>
              <w:right w:val="nil"/>
            </w:tcBorders>
            <w:shd w:val="clear" w:color="auto" w:fill="F2F2F2" w:themeFill="background1" w:themeFillShade="F2"/>
          </w:tcPr>
          <w:p w14:paraId="04A857EB" w14:textId="59599F93" w:rsidR="00F84D20" w:rsidRPr="00C13BF0" w:rsidRDefault="00F84D20" w:rsidP="00091042">
            <w:pPr>
              <w:spacing w:before="80" w:after="240"/>
              <w:rPr>
                <w:b/>
                <w:bCs/>
              </w:rPr>
            </w:pPr>
            <w:r w:rsidRPr="00C13BF0">
              <w:rPr>
                <w:b/>
                <w:bCs/>
              </w:rPr>
              <w:t>10.</w:t>
            </w:r>
          </w:p>
        </w:tc>
        <w:tc>
          <w:tcPr>
            <w:tcW w:w="3880" w:type="dxa"/>
            <w:tcBorders>
              <w:left w:val="nil"/>
              <w:right w:val="nil"/>
            </w:tcBorders>
            <w:shd w:val="clear" w:color="auto" w:fill="F2F2F2" w:themeFill="background1" w:themeFillShade="F2"/>
          </w:tcPr>
          <w:p w14:paraId="49417A4F" w14:textId="5904BEAC" w:rsidR="00F84D20" w:rsidRPr="00C13BF0" w:rsidRDefault="00F84D20" w:rsidP="003043C3">
            <w:pPr>
              <w:spacing w:before="80" w:after="60"/>
              <w:rPr>
                <w:b/>
                <w:bCs/>
              </w:rPr>
            </w:pPr>
            <w:r>
              <w:t>Are there other steps we could take to strengthen or develop the CDR regime to enhance the economy-wide roll-out?</w:t>
            </w:r>
          </w:p>
        </w:tc>
        <w:tc>
          <w:tcPr>
            <w:tcW w:w="5386" w:type="dxa"/>
          </w:tcPr>
          <w:p w14:paraId="39FA127D" w14:textId="77777777" w:rsidR="00F84D20" w:rsidRDefault="00016A5A" w:rsidP="00A36B04">
            <w:pPr>
              <w:spacing w:before="80" w:after="80"/>
            </w:pPr>
            <w:r>
              <w:t>See 5 above</w:t>
            </w:r>
          </w:p>
          <w:p w14:paraId="38470C50" w14:textId="77777777" w:rsidR="00E5294F" w:rsidRDefault="00E5294F" w:rsidP="00A36B04">
            <w:pPr>
              <w:spacing w:before="80" w:after="80"/>
            </w:pPr>
          </w:p>
          <w:p w14:paraId="7DA32616" w14:textId="49A41F06" w:rsidR="00E5294F" w:rsidRDefault="00E5294F" w:rsidP="00A36B04">
            <w:pPr>
              <w:spacing w:before="80" w:after="80"/>
            </w:pPr>
          </w:p>
        </w:tc>
      </w:tr>
      <w:tr w:rsidR="00F84D20" w:rsidRPr="00091042" w14:paraId="56E4A5C5" w14:textId="77777777" w:rsidTr="00D75ED6">
        <w:trPr>
          <w:trHeight w:val="269"/>
        </w:trPr>
        <w:tc>
          <w:tcPr>
            <w:tcW w:w="510" w:type="dxa"/>
            <w:tcBorders>
              <w:right w:val="nil"/>
            </w:tcBorders>
            <w:shd w:val="clear" w:color="auto" w:fill="F2F2F2" w:themeFill="background1" w:themeFillShade="F2"/>
          </w:tcPr>
          <w:p w14:paraId="3FB48970" w14:textId="36EACAFB" w:rsidR="00F84D20" w:rsidRPr="00C13BF0" w:rsidRDefault="00F84D20" w:rsidP="00091042">
            <w:pPr>
              <w:spacing w:before="80" w:after="240"/>
              <w:rPr>
                <w:b/>
                <w:bCs/>
              </w:rPr>
            </w:pPr>
            <w:r w:rsidRPr="00C13BF0">
              <w:rPr>
                <w:b/>
                <w:bCs/>
              </w:rPr>
              <w:lastRenderedPageBreak/>
              <w:t>11.</w:t>
            </w:r>
          </w:p>
        </w:tc>
        <w:tc>
          <w:tcPr>
            <w:tcW w:w="3880" w:type="dxa"/>
            <w:tcBorders>
              <w:left w:val="nil"/>
              <w:bottom w:val="single" w:sz="4" w:space="0" w:color="BFBFBF" w:themeColor="background1" w:themeShade="BF"/>
              <w:right w:val="nil"/>
            </w:tcBorders>
            <w:shd w:val="clear" w:color="auto" w:fill="F2F2F2" w:themeFill="background1" w:themeFillShade="F2"/>
          </w:tcPr>
          <w:p w14:paraId="0C096056" w14:textId="7E2C9EDB" w:rsidR="00F84D20" w:rsidRPr="00C13BF0" w:rsidRDefault="00F84D20" w:rsidP="00091042">
            <w:pPr>
              <w:spacing w:before="80" w:after="240"/>
              <w:rPr>
                <w:b/>
                <w:bCs/>
              </w:rPr>
            </w:pPr>
            <w:r>
              <w:t>Are there any datasets or kinds of data that may or may not be suitable for Consumer Data Right designation (</w:t>
            </w:r>
            <w:proofErr w:type="gramStart"/>
            <w:r>
              <w:t>e.g.</w:t>
            </w:r>
            <w:proofErr w:type="gramEnd"/>
            <w:r>
              <w:t xml:space="preserve"> due to privacy concerns)? Why?</w:t>
            </w:r>
          </w:p>
        </w:tc>
        <w:tc>
          <w:tcPr>
            <w:tcW w:w="5386" w:type="dxa"/>
          </w:tcPr>
          <w:p w14:paraId="40F6CB5E" w14:textId="3DE04CB6" w:rsidR="00F84D20" w:rsidRPr="00091042" w:rsidRDefault="00016A5A" w:rsidP="00C8520E">
            <w:pPr>
              <w:spacing w:before="80" w:after="80"/>
              <w:rPr>
                <w:b/>
                <w:bCs/>
              </w:rPr>
            </w:pPr>
            <w:r w:rsidRPr="00016A5A">
              <w:t xml:space="preserve">It would be better to start from the opposite view – </w:t>
            </w:r>
            <w:proofErr w:type="gramStart"/>
            <w:r w:rsidRPr="00016A5A">
              <w:t>i.e.</w:t>
            </w:r>
            <w:proofErr w:type="gramEnd"/>
            <w:r w:rsidRPr="00016A5A">
              <w:t xml:space="preserve"> which data sets are suitable – as per question 1.</w:t>
            </w:r>
            <w:r>
              <w:rPr>
                <w:b/>
                <w:bCs/>
              </w:rPr>
              <w:t xml:space="preserve"> </w:t>
            </w:r>
          </w:p>
        </w:tc>
      </w:tr>
      <w:tr w:rsidR="00F84D20" w:rsidRPr="00091042" w14:paraId="43FE1003" w14:textId="77777777" w:rsidTr="00D75ED6">
        <w:trPr>
          <w:trHeight w:val="269"/>
        </w:trPr>
        <w:tc>
          <w:tcPr>
            <w:tcW w:w="510" w:type="dxa"/>
            <w:tcBorders>
              <w:right w:val="nil"/>
            </w:tcBorders>
            <w:shd w:val="clear" w:color="auto" w:fill="F2F2F2" w:themeFill="background1" w:themeFillShade="F2"/>
          </w:tcPr>
          <w:p w14:paraId="23679BBD" w14:textId="48F22525" w:rsidR="00F84D20" w:rsidRPr="00C13BF0" w:rsidRDefault="00F84D20" w:rsidP="00091042">
            <w:pPr>
              <w:spacing w:before="80" w:after="240"/>
              <w:rPr>
                <w:b/>
                <w:bCs/>
              </w:rPr>
            </w:pPr>
            <w:r w:rsidRPr="00C13BF0">
              <w:rPr>
                <w:b/>
                <w:bCs/>
              </w:rPr>
              <w:t>12.</w:t>
            </w:r>
          </w:p>
        </w:tc>
        <w:tc>
          <w:tcPr>
            <w:tcW w:w="3880" w:type="dxa"/>
            <w:tcBorders>
              <w:left w:val="nil"/>
              <w:bottom w:val="single" w:sz="4" w:space="0" w:color="BFBFBF" w:themeColor="background1" w:themeShade="BF"/>
              <w:right w:val="nil"/>
            </w:tcBorders>
            <w:shd w:val="clear" w:color="auto" w:fill="F2F2F2" w:themeFill="background1" w:themeFillShade="F2"/>
          </w:tcPr>
          <w:p w14:paraId="58CE5C07" w14:textId="5C753059" w:rsidR="00F84D20" w:rsidRPr="00C13BF0" w:rsidRDefault="00F84D20" w:rsidP="00091042">
            <w:pPr>
              <w:spacing w:before="80" w:after="80"/>
              <w:rPr>
                <w:b/>
                <w:bCs/>
              </w:rPr>
            </w:pPr>
            <w:r>
              <w:t>Are there global trends or good examples internationally of where consumer data is being used to drive better consumer and/or social outcomes? How has this informed that jurisdictions approach to rolling out comparable data regimes</w:t>
            </w:r>
          </w:p>
        </w:tc>
        <w:tc>
          <w:tcPr>
            <w:tcW w:w="5386" w:type="dxa"/>
          </w:tcPr>
          <w:p w14:paraId="3A1B4A4C" w14:textId="4B93A622" w:rsidR="00F84D20" w:rsidRPr="00A87B90" w:rsidRDefault="00016A5A" w:rsidP="00F84D20">
            <w:pPr>
              <w:autoSpaceDE w:val="0"/>
              <w:autoSpaceDN w:val="0"/>
              <w:adjustRightInd w:val="0"/>
              <w:spacing w:before="80" w:after="160"/>
            </w:pPr>
            <w:r w:rsidRPr="00A87B90">
              <w:t xml:space="preserve">Europe’s General Data Protection </w:t>
            </w:r>
            <w:r w:rsidR="00A87B90">
              <w:t>R</w:t>
            </w:r>
            <w:r w:rsidRPr="00A87B90">
              <w:t xml:space="preserve">egulation </w:t>
            </w:r>
            <w:r w:rsidR="00A87B90">
              <w:t xml:space="preserve">(GDPR) </w:t>
            </w:r>
            <w:r w:rsidRPr="00A87B90">
              <w:t>covers aspects of consumer data rights especially privacy</w:t>
            </w:r>
            <w:r w:rsidR="00A87B90" w:rsidRPr="00A87B90">
              <w:t>, consent and security</w:t>
            </w:r>
            <w:r w:rsidR="00A87B90" w:rsidRPr="00E5294F">
              <w:rPr>
                <w:b/>
                <w:bCs/>
              </w:rPr>
              <w:t>.</w:t>
            </w:r>
            <w:r w:rsidR="00A87B90" w:rsidRPr="00E5294F">
              <w:rPr>
                <w:rStyle w:val="Strong"/>
                <w:b w:val="0"/>
              </w:rPr>
              <w:t xml:space="preserve"> </w:t>
            </w:r>
            <w:r w:rsidR="00B51A71" w:rsidRPr="00E5294F">
              <w:rPr>
                <w:rStyle w:val="Strong"/>
                <w:b w:val="0"/>
              </w:rPr>
              <w:t>The United Kingdom, as noted in the Productivity Commission Report</w:t>
            </w:r>
            <w:r w:rsidR="00C2368E">
              <w:rPr>
                <w:rStyle w:val="Strong"/>
                <w:b w:val="0"/>
              </w:rPr>
              <w:t>,</w:t>
            </w:r>
            <w:r w:rsidR="00B51A71">
              <w:rPr>
                <w:rStyle w:val="Strong"/>
                <w:b w:val="0"/>
              </w:rPr>
              <w:t xml:space="preserve"> has better systems for </w:t>
            </w:r>
            <w:r w:rsidR="00C2368E" w:rsidRPr="00E5294F">
              <w:rPr>
                <w:rStyle w:val="Strong"/>
                <w:b w:val="0"/>
              </w:rPr>
              <w:t>consent enabled</w:t>
            </w:r>
            <w:r w:rsidR="00C2368E">
              <w:rPr>
                <w:rStyle w:val="Strong"/>
                <w:b w:val="0"/>
                <w:bCs w:val="0"/>
              </w:rPr>
              <w:t xml:space="preserve"> sharing of</w:t>
            </w:r>
            <w:r w:rsidR="00C2368E" w:rsidRPr="00E5294F">
              <w:rPr>
                <w:rStyle w:val="Strong"/>
                <w:b w:val="0"/>
                <w:bCs w:val="0"/>
              </w:rPr>
              <w:t xml:space="preserve"> </w:t>
            </w:r>
            <w:r w:rsidR="00B51A71">
              <w:rPr>
                <w:rStyle w:val="Strong"/>
                <w:b w:val="0"/>
                <w:bCs w:val="0"/>
              </w:rPr>
              <w:t>health data</w:t>
            </w:r>
            <w:r w:rsidR="00C2368E">
              <w:rPr>
                <w:rStyle w:val="Strong"/>
                <w:b w:val="0"/>
                <w:bCs w:val="0"/>
              </w:rPr>
              <w:t xml:space="preserve"> and is more advanced than Australia</w:t>
            </w:r>
            <w:r w:rsidR="00B51A71">
              <w:rPr>
                <w:rStyle w:val="Strong"/>
                <w:b w:val="0"/>
                <w:bCs w:val="0"/>
              </w:rPr>
              <w:t>.</w:t>
            </w:r>
          </w:p>
        </w:tc>
      </w:tr>
    </w:tbl>
    <w:p w14:paraId="01CAF3F1" w14:textId="3C5A05CA" w:rsidR="00222902" w:rsidRDefault="00222902"/>
    <w:sectPr w:rsidR="00222902" w:rsidSect="00EA1254">
      <w:headerReference w:type="default" r:id="rId13"/>
      <w:headerReference w:type="first" r:id="rId14"/>
      <w:pgSz w:w="11906" w:h="16838"/>
      <w:pgMar w:top="1440" w:right="1440" w:bottom="1440" w:left="1440" w:header="850" w:footer="10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6D7F6" w14:textId="77777777" w:rsidR="00A173DA" w:rsidRDefault="00A173DA" w:rsidP="008C0A82">
      <w:pPr>
        <w:spacing w:after="0" w:line="240" w:lineRule="auto"/>
      </w:pPr>
      <w:r>
        <w:separator/>
      </w:r>
    </w:p>
  </w:endnote>
  <w:endnote w:type="continuationSeparator" w:id="0">
    <w:p w14:paraId="4ACD1620" w14:textId="77777777" w:rsidR="00A173DA" w:rsidRDefault="00A173DA" w:rsidP="008C0A82">
      <w:pPr>
        <w:spacing w:after="0" w:line="240" w:lineRule="auto"/>
      </w:pPr>
      <w:r>
        <w:continuationSeparator/>
      </w:r>
    </w:p>
  </w:endnote>
  <w:endnote w:type="continuationNotice" w:id="1">
    <w:p w14:paraId="1C136BDF" w14:textId="77777777" w:rsidR="00A173DA" w:rsidRDefault="00A173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A2CD" w14:textId="77777777" w:rsidR="00A173DA" w:rsidRDefault="00A173DA" w:rsidP="008C0A82">
      <w:pPr>
        <w:spacing w:after="0" w:line="240" w:lineRule="auto"/>
      </w:pPr>
      <w:r>
        <w:separator/>
      </w:r>
    </w:p>
  </w:footnote>
  <w:footnote w:type="continuationSeparator" w:id="0">
    <w:p w14:paraId="08E280E9" w14:textId="77777777" w:rsidR="00A173DA" w:rsidRDefault="00A173DA" w:rsidP="008C0A82">
      <w:pPr>
        <w:spacing w:after="0" w:line="240" w:lineRule="auto"/>
      </w:pPr>
      <w:r>
        <w:continuationSeparator/>
      </w:r>
    </w:p>
  </w:footnote>
  <w:footnote w:type="continuationNotice" w:id="1">
    <w:p w14:paraId="3E25A893" w14:textId="77777777" w:rsidR="00A173DA" w:rsidRDefault="00A173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9EEA" w14:textId="0B1167E4" w:rsidR="008C0A82" w:rsidRDefault="008C0A82" w:rsidP="00A04DFE">
    <w:pPr>
      <w:pStyle w:val="Header"/>
      <w:spacing w:after="360"/>
      <w:jc w:val="right"/>
    </w:pPr>
    <w:r>
      <w:rPr>
        <w:noProof/>
        <w:lang w:val="en-US"/>
      </w:rPr>
      <w:drawing>
        <wp:inline distT="0" distB="0" distL="0" distR="0" wp14:anchorId="35CB48DB" wp14:editId="6269384D">
          <wp:extent cx="918210" cy="467909"/>
          <wp:effectExtent l="0" t="0" r="0" b="8890"/>
          <wp:docPr id="3" name="Picture 3" descr="A picture containing text, monito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tablewar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0694" cy="47427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A071" w14:textId="65C7DC41" w:rsidR="008C0A82" w:rsidRDefault="008C0A82" w:rsidP="00281A1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05B6"/>
    <w:multiLevelType w:val="hybridMultilevel"/>
    <w:tmpl w:val="CDD05E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CFD1337"/>
    <w:multiLevelType w:val="hybridMultilevel"/>
    <w:tmpl w:val="D988EF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0E244A"/>
    <w:multiLevelType w:val="hybridMultilevel"/>
    <w:tmpl w:val="B99C3D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36970B7"/>
    <w:multiLevelType w:val="multilevel"/>
    <w:tmpl w:val="9216BF34"/>
    <w:styleLink w:val="Bullets"/>
    <w:lvl w:ilvl="0">
      <w:start w:val="1"/>
      <w:numFmt w:val="bullet"/>
      <w:pStyle w:val="Bullet1"/>
      <w:lvlText w:val=""/>
      <w:lvlJc w:val="left"/>
      <w:pPr>
        <w:tabs>
          <w:tab w:val="num" w:pos="170"/>
        </w:tabs>
        <w:ind w:left="170" w:hanging="170"/>
      </w:pPr>
      <w:rPr>
        <w:rFonts w:ascii="Symbol" w:hAnsi="Symbol" w:hint="default"/>
        <w:color w:val="auto"/>
      </w:rPr>
    </w:lvl>
    <w:lvl w:ilvl="1">
      <w:start w:val="1"/>
      <w:numFmt w:val="bullet"/>
      <w:pStyle w:val="Bullet2"/>
      <w:lvlText w:val=""/>
      <w:lvlJc w:val="left"/>
      <w:pPr>
        <w:tabs>
          <w:tab w:val="num" w:pos="340"/>
        </w:tabs>
        <w:ind w:left="340" w:hanging="170"/>
      </w:pPr>
      <w:rPr>
        <w:rFonts w:ascii="Symbol" w:hAnsi="Symbol" w:hint="default"/>
        <w:color w:val="auto"/>
      </w:rPr>
    </w:lvl>
    <w:lvl w:ilvl="2">
      <w:start w:val="1"/>
      <w:numFmt w:val="bullet"/>
      <w:pStyle w:val="Bullet3"/>
      <w:lvlText w:val=""/>
      <w:lvlJc w:val="left"/>
      <w:pPr>
        <w:tabs>
          <w:tab w:val="num" w:pos="510"/>
        </w:tabs>
        <w:ind w:left="510" w:hanging="170"/>
      </w:pPr>
      <w:rPr>
        <w:rFonts w:ascii="Symbol" w:hAnsi="Symbol" w:hint="default"/>
        <w:color w:val="auto"/>
      </w:rPr>
    </w:lvl>
    <w:lvl w:ilvl="3">
      <w:start w:val="1"/>
      <w:numFmt w:val="bullet"/>
      <w:pStyle w:val="Bullet4"/>
      <w:lvlText w:val=""/>
      <w:lvlJc w:val="left"/>
      <w:pPr>
        <w:tabs>
          <w:tab w:val="num" w:pos="680"/>
        </w:tabs>
        <w:ind w:left="680" w:hanging="170"/>
      </w:pPr>
      <w:rPr>
        <w:rFonts w:ascii="Symbol" w:hAnsi="Symbol" w:hint="default"/>
        <w:color w:val="auto"/>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3DC44C7F"/>
    <w:multiLevelType w:val="hybridMultilevel"/>
    <w:tmpl w:val="B9EC38B4"/>
    <w:lvl w:ilvl="0" w:tplc="ECC846C8">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03150D"/>
    <w:multiLevelType w:val="hybridMultilevel"/>
    <w:tmpl w:val="AF8040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A3D481B"/>
    <w:multiLevelType w:val="multilevel"/>
    <w:tmpl w:val="E20C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E3CC9"/>
    <w:multiLevelType w:val="hybridMultilevel"/>
    <w:tmpl w:val="524EDB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D5C32C4"/>
    <w:multiLevelType w:val="hybridMultilevel"/>
    <w:tmpl w:val="67746700"/>
    <w:lvl w:ilvl="0" w:tplc="E4F068D6">
      <w:start w:val="1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2B9F38-B8FA-417A-8342-564ADB07E86C}"/>
    <w:docVar w:name="dgnword-eventsink" w:val="55481608"/>
    <w:docVar w:name="dgnword-lastRevisionsView" w:val="0"/>
  </w:docVars>
  <w:rsids>
    <w:rsidRoot w:val="00222902"/>
    <w:rsid w:val="00000929"/>
    <w:rsid w:val="00003270"/>
    <w:rsid w:val="00004327"/>
    <w:rsid w:val="0000525D"/>
    <w:rsid w:val="0001124A"/>
    <w:rsid w:val="00015F35"/>
    <w:rsid w:val="000165B0"/>
    <w:rsid w:val="00016A5A"/>
    <w:rsid w:val="00021229"/>
    <w:rsid w:val="00022241"/>
    <w:rsid w:val="000267A2"/>
    <w:rsid w:val="000346B1"/>
    <w:rsid w:val="000426E1"/>
    <w:rsid w:val="00043638"/>
    <w:rsid w:val="00046767"/>
    <w:rsid w:val="00046C42"/>
    <w:rsid w:val="00047047"/>
    <w:rsid w:val="00062F8F"/>
    <w:rsid w:val="00063C3B"/>
    <w:rsid w:val="00063F1E"/>
    <w:rsid w:val="00065008"/>
    <w:rsid w:val="00070D11"/>
    <w:rsid w:val="00073631"/>
    <w:rsid w:val="00091042"/>
    <w:rsid w:val="000A1593"/>
    <w:rsid w:val="000B048B"/>
    <w:rsid w:val="000B3677"/>
    <w:rsid w:val="000B690C"/>
    <w:rsid w:val="000C6418"/>
    <w:rsid w:val="000D6067"/>
    <w:rsid w:val="000D7712"/>
    <w:rsid w:val="000E0A12"/>
    <w:rsid w:val="000E5FCD"/>
    <w:rsid w:val="000F0E1C"/>
    <w:rsid w:val="000F13D1"/>
    <w:rsid w:val="000F5391"/>
    <w:rsid w:val="000F6B31"/>
    <w:rsid w:val="00100648"/>
    <w:rsid w:val="00102FF9"/>
    <w:rsid w:val="0010478C"/>
    <w:rsid w:val="00105F24"/>
    <w:rsid w:val="00106692"/>
    <w:rsid w:val="001078BA"/>
    <w:rsid w:val="00122ECA"/>
    <w:rsid w:val="0012372E"/>
    <w:rsid w:val="00127882"/>
    <w:rsid w:val="001308C8"/>
    <w:rsid w:val="00132A4D"/>
    <w:rsid w:val="0013319E"/>
    <w:rsid w:val="0013527E"/>
    <w:rsid w:val="00136566"/>
    <w:rsid w:val="00140088"/>
    <w:rsid w:val="0014208D"/>
    <w:rsid w:val="0015102D"/>
    <w:rsid w:val="00153909"/>
    <w:rsid w:val="00161F8B"/>
    <w:rsid w:val="00163EEF"/>
    <w:rsid w:val="001704A8"/>
    <w:rsid w:val="00171275"/>
    <w:rsid w:val="00171E41"/>
    <w:rsid w:val="00173C32"/>
    <w:rsid w:val="00173EEE"/>
    <w:rsid w:val="001813BF"/>
    <w:rsid w:val="00190D77"/>
    <w:rsid w:val="0019261E"/>
    <w:rsid w:val="001A05FE"/>
    <w:rsid w:val="001A69A8"/>
    <w:rsid w:val="001B4672"/>
    <w:rsid w:val="001C0888"/>
    <w:rsid w:val="001C1613"/>
    <w:rsid w:val="001C3667"/>
    <w:rsid w:val="001C37EF"/>
    <w:rsid w:val="001C7159"/>
    <w:rsid w:val="001D2C73"/>
    <w:rsid w:val="001D5A73"/>
    <w:rsid w:val="001E4AE7"/>
    <w:rsid w:val="001E56CD"/>
    <w:rsid w:val="001F3717"/>
    <w:rsid w:val="001F5190"/>
    <w:rsid w:val="001F55C8"/>
    <w:rsid w:val="001F6A59"/>
    <w:rsid w:val="00200A4F"/>
    <w:rsid w:val="0020159D"/>
    <w:rsid w:val="002016C5"/>
    <w:rsid w:val="002017C0"/>
    <w:rsid w:val="00210803"/>
    <w:rsid w:val="00214C2A"/>
    <w:rsid w:val="00220008"/>
    <w:rsid w:val="002227C6"/>
    <w:rsid w:val="00222902"/>
    <w:rsid w:val="0023077B"/>
    <w:rsid w:val="00236B3C"/>
    <w:rsid w:val="00236D61"/>
    <w:rsid w:val="00242AD1"/>
    <w:rsid w:val="00242B41"/>
    <w:rsid w:val="0024377B"/>
    <w:rsid w:val="002462BF"/>
    <w:rsid w:val="00246A24"/>
    <w:rsid w:val="00261DD2"/>
    <w:rsid w:val="0026568F"/>
    <w:rsid w:val="002706A8"/>
    <w:rsid w:val="00275A1D"/>
    <w:rsid w:val="00280107"/>
    <w:rsid w:val="00281A10"/>
    <w:rsid w:val="00283E63"/>
    <w:rsid w:val="00284AB7"/>
    <w:rsid w:val="002870CB"/>
    <w:rsid w:val="00287158"/>
    <w:rsid w:val="0029492C"/>
    <w:rsid w:val="00295F38"/>
    <w:rsid w:val="002A1A59"/>
    <w:rsid w:val="002B22D8"/>
    <w:rsid w:val="002B24FB"/>
    <w:rsid w:val="002B2A3A"/>
    <w:rsid w:val="002B2CC4"/>
    <w:rsid w:val="002B3CD5"/>
    <w:rsid w:val="002B4E1F"/>
    <w:rsid w:val="002C756A"/>
    <w:rsid w:val="002D58AA"/>
    <w:rsid w:val="002D596B"/>
    <w:rsid w:val="002F1826"/>
    <w:rsid w:val="002F1ED0"/>
    <w:rsid w:val="002F34B0"/>
    <w:rsid w:val="002F7E26"/>
    <w:rsid w:val="003043C3"/>
    <w:rsid w:val="00305D46"/>
    <w:rsid w:val="00310742"/>
    <w:rsid w:val="003130B9"/>
    <w:rsid w:val="0031332B"/>
    <w:rsid w:val="0031666E"/>
    <w:rsid w:val="00321782"/>
    <w:rsid w:val="00321BD3"/>
    <w:rsid w:val="00322F58"/>
    <w:rsid w:val="003270AC"/>
    <w:rsid w:val="00327303"/>
    <w:rsid w:val="0032749A"/>
    <w:rsid w:val="00337E5A"/>
    <w:rsid w:val="003400FE"/>
    <w:rsid w:val="00342CD1"/>
    <w:rsid w:val="00352190"/>
    <w:rsid w:val="0036162C"/>
    <w:rsid w:val="00362162"/>
    <w:rsid w:val="00366C28"/>
    <w:rsid w:val="003703CC"/>
    <w:rsid w:val="003709E9"/>
    <w:rsid w:val="00372CA7"/>
    <w:rsid w:val="003753BF"/>
    <w:rsid w:val="00375D94"/>
    <w:rsid w:val="00377000"/>
    <w:rsid w:val="00377B25"/>
    <w:rsid w:val="00377E73"/>
    <w:rsid w:val="00383E30"/>
    <w:rsid w:val="00393FEE"/>
    <w:rsid w:val="003A3640"/>
    <w:rsid w:val="003A6031"/>
    <w:rsid w:val="003B07DD"/>
    <w:rsid w:val="003B3AF8"/>
    <w:rsid w:val="003B4139"/>
    <w:rsid w:val="003B4766"/>
    <w:rsid w:val="003B5B3B"/>
    <w:rsid w:val="003B61AF"/>
    <w:rsid w:val="003C3D3F"/>
    <w:rsid w:val="003C67E7"/>
    <w:rsid w:val="003C6E57"/>
    <w:rsid w:val="003D00E7"/>
    <w:rsid w:val="003D0AE5"/>
    <w:rsid w:val="003D7144"/>
    <w:rsid w:val="003E01AA"/>
    <w:rsid w:val="003E2BBE"/>
    <w:rsid w:val="003E4F46"/>
    <w:rsid w:val="003E5F9D"/>
    <w:rsid w:val="00401337"/>
    <w:rsid w:val="00401E6E"/>
    <w:rsid w:val="00402EAC"/>
    <w:rsid w:val="00407745"/>
    <w:rsid w:val="00411592"/>
    <w:rsid w:val="00413E17"/>
    <w:rsid w:val="00436FDE"/>
    <w:rsid w:val="00437A64"/>
    <w:rsid w:val="00441D41"/>
    <w:rsid w:val="00446807"/>
    <w:rsid w:val="00452A75"/>
    <w:rsid w:val="00461963"/>
    <w:rsid w:val="00461C73"/>
    <w:rsid w:val="0046336B"/>
    <w:rsid w:val="0046744C"/>
    <w:rsid w:val="00472E64"/>
    <w:rsid w:val="00474ECD"/>
    <w:rsid w:val="00476304"/>
    <w:rsid w:val="004812AF"/>
    <w:rsid w:val="00485351"/>
    <w:rsid w:val="00486640"/>
    <w:rsid w:val="00486C94"/>
    <w:rsid w:val="00487ED0"/>
    <w:rsid w:val="00491D08"/>
    <w:rsid w:val="004927B8"/>
    <w:rsid w:val="0049433D"/>
    <w:rsid w:val="00495E50"/>
    <w:rsid w:val="004A3757"/>
    <w:rsid w:val="004A3ADD"/>
    <w:rsid w:val="004B0957"/>
    <w:rsid w:val="004B1DCE"/>
    <w:rsid w:val="004B4552"/>
    <w:rsid w:val="004B7BA5"/>
    <w:rsid w:val="004C7A29"/>
    <w:rsid w:val="004D0953"/>
    <w:rsid w:val="004D3668"/>
    <w:rsid w:val="004E4F62"/>
    <w:rsid w:val="004E5450"/>
    <w:rsid w:val="004E6C0D"/>
    <w:rsid w:val="004E757D"/>
    <w:rsid w:val="004E787E"/>
    <w:rsid w:val="004F0749"/>
    <w:rsid w:val="0050155E"/>
    <w:rsid w:val="005064B0"/>
    <w:rsid w:val="00506B1B"/>
    <w:rsid w:val="005212D2"/>
    <w:rsid w:val="00534774"/>
    <w:rsid w:val="005353F3"/>
    <w:rsid w:val="00541D86"/>
    <w:rsid w:val="00546273"/>
    <w:rsid w:val="00555464"/>
    <w:rsid w:val="00556B87"/>
    <w:rsid w:val="00562274"/>
    <w:rsid w:val="00562CC6"/>
    <w:rsid w:val="00563057"/>
    <w:rsid w:val="00567B1C"/>
    <w:rsid w:val="00585357"/>
    <w:rsid w:val="00585953"/>
    <w:rsid w:val="0059455C"/>
    <w:rsid w:val="00597A2C"/>
    <w:rsid w:val="005A0FB9"/>
    <w:rsid w:val="005A6D84"/>
    <w:rsid w:val="005B4CD6"/>
    <w:rsid w:val="005B5AA2"/>
    <w:rsid w:val="005B64D7"/>
    <w:rsid w:val="005B6696"/>
    <w:rsid w:val="005B6961"/>
    <w:rsid w:val="005B719D"/>
    <w:rsid w:val="005B7223"/>
    <w:rsid w:val="005C2013"/>
    <w:rsid w:val="005C35DA"/>
    <w:rsid w:val="005C60D3"/>
    <w:rsid w:val="005D22A8"/>
    <w:rsid w:val="005D3841"/>
    <w:rsid w:val="005D505D"/>
    <w:rsid w:val="005D5219"/>
    <w:rsid w:val="005D60CD"/>
    <w:rsid w:val="005D724E"/>
    <w:rsid w:val="005D7C20"/>
    <w:rsid w:val="005E099E"/>
    <w:rsid w:val="005E0C8D"/>
    <w:rsid w:val="005E360E"/>
    <w:rsid w:val="005E6B51"/>
    <w:rsid w:val="006001C2"/>
    <w:rsid w:val="00604FC7"/>
    <w:rsid w:val="00605A8D"/>
    <w:rsid w:val="00610F87"/>
    <w:rsid w:val="00611A1C"/>
    <w:rsid w:val="00616052"/>
    <w:rsid w:val="006210D4"/>
    <w:rsid w:val="0062157E"/>
    <w:rsid w:val="00621728"/>
    <w:rsid w:val="00625DF4"/>
    <w:rsid w:val="00634814"/>
    <w:rsid w:val="00634B1A"/>
    <w:rsid w:val="006377EA"/>
    <w:rsid w:val="006433A5"/>
    <w:rsid w:val="00646F09"/>
    <w:rsid w:val="00650F58"/>
    <w:rsid w:val="00652B29"/>
    <w:rsid w:val="00653415"/>
    <w:rsid w:val="00656CB2"/>
    <w:rsid w:val="00664A91"/>
    <w:rsid w:val="00670C03"/>
    <w:rsid w:val="00671CA6"/>
    <w:rsid w:val="00675C0E"/>
    <w:rsid w:val="00683D71"/>
    <w:rsid w:val="006841DC"/>
    <w:rsid w:val="006925E2"/>
    <w:rsid w:val="006B22BE"/>
    <w:rsid w:val="006B70E8"/>
    <w:rsid w:val="006B7B96"/>
    <w:rsid w:val="006C52D9"/>
    <w:rsid w:val="006D0ED9"/>
    <w:rsid w:val="006D21BB"/>
    <w:rsid w:val="006D2379"/>
    <w:rsid w:val="006D420B"/>
    <w:rsid w:val="006D4589"/>
    <w:rsid w:val="006D55BD"/>
    <w:rsid w:val="006D6771"/>
    <w:rsid w:val="006E2B51"/>
    <w:rsid w:val="006E4D88"/>
    <w:rsid w:val="006F3253"/>
    <w:rsid w:val="006F7E6E"/>
    <w:rsid w:val="00703188"/>
    <w:rsid w:val="007040DB"/>
    <w:rsid w:val="007059BB"/>
    <w:rsid w:val="0070652C"/>
    <w:rsid w:val="00712040"/>
    <w:rsid w:val="00714415"/>
    <w:rsid w:val="007164F8"/>
    <w:rsid w:val="00717208"/>
    <w:rsid w:val="0072249E"/>
    <w:rsid w:val="00731ACC"/>
    <w:rsid w:val="0073594D"/>
    <w:rsid w:val="00735A8B"/>
    <w:rsid w:val="00736014"/>
    <w:rsid w:val="0074536B"/>
    <w:rsid w:val="007645CC"/>
    <w:rsid w:val="00765270"/>
    <w:rsid w:val="00766281"/>
    <w:rsid w:val="00770DAF"/>
    <w:rsid w:val="00771E4C"/>
    <w:rsid w:val="007750EC"/>
    <w:rsid w:val="0077620D"/>
    <w:rsid w:val="0077728E"/>
    <w:rsid w:val="00786717"/>
    <w:rsid w:val="00795781"/>
    <w:rsid w:val="00796988"/>
    <w:rsid w:val="007A4436"/>
    <w:rsid w:val="007A6BCD"/>
    <w:rsid w:val="007A7EC5"/>
    <w:rsid w:val="007B00E5"/>
    <w:rsid w:val="007B3627"/>
    <w:rsid w:val="007B56AA"/>
    <w:rsid w:val="007C77D2"/>
    <w:rsid w:val="007C7931"/>
    <w:rsid w:val="007D027D"/>
    <w:rsid w:val="007D2D04"/>
    <w:rsid w:val="007D306B"/>
    <w:rsid w:val="007D6B7C"/>
    <w:rsid w:val="007D6BCB"/>
    <w:rsid w:val="007D6D52"/>
    <w:rsid w:val="007E014E"/>
    <w:rsid w:val="007E0D90"/>
    <w:rsid w:val="007E5EF4"/>
    <w:rsid w:val="007E630F"/>
    <w:rsid w:val="00801E27"/>
    <w:rsid w:val="00802D6D"/>
    <w:rsid w:val="008058AC"/>
    <w:rsid w:val="008220B0"/>
    <w:rsid w:val="0082312F"/>
    <w:rsid w:val="00825FCF"/>
    <w:rsid w:val="008302DA"/>
    <w:rsid w:val="00835EC7"/>
    <w:rsid w:val="00837688"/>
    <w:rsid w:val="0084038A"/>
    <w:rsid w:val="00840423"/>
    <w:rsid w:val="008404B4"/>
    <w:rsid w:val="008507A6"/>
    <w:rsid w:val="008526F9"/>
    <w:rsid w:val="008531C5"/>
    <w:rsid w:val="00857FC0"/>
    <w:rsid w:val="008641F1"/>
    <w:rsid w:val="008644BF"/>
    <w:rsid w:val="00864FF0"/>
    <w:rsid w:val="008706EB"/>
    <w:rsid w:val="00871FF2"/>
    <w:rsid w:val="00873C74"/>
    <w:rsid w:val="0088103F"/>
    <w:rsid w:val="00883F35"/>
    <w:rsid w:val="0088784C"/>
    <w:rsid w:val="00895C30"/>
    <w:rsid w:val="00895D85"/>
    <w:rsid w:val="008977A1"/>
    <w:rsid w:val="00897C2E"/>
    <w:rsid w:val="008A0704"/>
    <w:rsid w:val="008A193E"/>
    <w:rsid w:val="008A1F94"/>
    <w:rsid w:val="008B6179"/>
    <w:rsid w:val="008B7B1D"/>
    <w:rsid w:val="008C0A82"/>
    <w:rsid w:val="008C386D"/>
    <w:rsid w:val="008C5A9B"/>
    <w:rsid w:val="008D17D1"/>
    <w:rsid w:val="008D4270"/>
    <w:rsid w:val="008D4A62"/>
    <w:rsid w:val="008D4E1B"/>
    <w:rsid w:val="008D524F"/>
    <w:rsid w:val="008D74C2"/>
    <w:rsid w:val="008E4343"/>
    <w:rsid w:val="008F035F"/>
    <w:rsid w:val="008F14CF"/>
    <w:rsid w:val="008F1982"/>
    <w:rsid w:val="008F1C4E"/>
    <w:rsid w:val="009029B2"/>
    <w:rsid w:val="0090381D"/>
    <w:rsid w:val="00903EC2"/>
    <w:rsid w:val="009060E2"/>
    <w:rsid w:val="00907320"/>
    <w:rsid w:val="0091376A"/>
    <w:rsid w:val="009138A6"/>
    <w:rsid w:val="009170D3"/>
    <w:rsid w:val="00920191"/>
    <w:rsid w:val="0092032D"/>
    <w:rsid w:val="00921D9A"/>
    <w:rsid w:val="00921E66"/>
    <w:rsid w:val="00925DA7"/>
    <w:rsid w:val="00942297"/>
    <w:rsid w:val="0094238B"/>
    <w:rsid w:val="00944DFB"/>
    <w:rsid w:val="009454D2"/>
    <w:rsid w:val="00950F44"/>
    <w:rsid w:val="0095145B"/>
    <w:rsid w:val="009528A9"/>
    <w:rsid w:val="00952F1C"/>
    <w:rsid w:val="00955839"/>
    <w:rsid w:val="009565DE"/>
    <w:rsid w:val="009572C2"/>
    <w:rsid w:val="00961196"/>
    <w:rsid w:val="009625C0"/>
    <w:rsid w:val="00965777"/>
    <w:rsid w:val="009662A6"/>
    <w:rsid w:val="00967DBC"/>
    <w:rsid w:val="00971562"/>
    <w:rsid w:val="0097189E"/>
    <w:rsid w:val="00971D17"/>
    <w:rsid w:val="009811AD"/>
    <w:rsid w:val="0099257B"/>
    <w:rsid w:val="00994BF8"/>
    <w:rsid w:val="00996A0A"/>
    <w:rsid w:val="00997583"/>
    <w:rsid w:val="009A58FD"/>
    <w:rsid w:val="009C5D44"/>
    <w:rsid w:val="009D30FD"/>
    <w:rsid w:val="009E0692"/>
    <w:rsid w:val="009E5603"/>
    <w:rsid w:val="009E7889"/>
    <w:rsid w:val="009F1E9E"/>
    <w:rsid w:val="009F40A4"/>
    <w:rsid w:val="009F4A03"/>
    <w:rsid w:val="009F4AF8"/>
    <w:rsid w:val="00A01694"/>
    <w:rsid w:val="00A04754"/>
    <w:rsid w:val="00A04BED"/>
    <w:rsid w:val="00A04DFE"/>
    <w:rsid w:val="00A06D8D"/>
    <w:rsid w:val="00A11E0E"/>
    <w:rsid w:val="00A12F51"/>
    <w:rsid w:val="00A1387C"/>
    <w:rsid w:val="00A173DA"/>
    <w:rsid w:val="00A203C2"/>
    <w:rsid w:val="00A234B8"/>
    <w:rsid w:val="00A23672"/>
    <w:rsid w:val="00A23A5C"/>
    <w:rsid w:val="00A23F0F"/>
    <w:rsid w:val="00A252B7"/>
    <w:rsid w:val="00A26BDD"/>
    <w:rsid w:val="00A26DE8"/>
    <w:rsid w:val="00A27FAB"/>
    <w:rsid w:val="00A33F82"/>
    <w:rsid w:val="00A36B04"/>
    <w:rsid w:val="00A43141"/>
    <w:rsid w:val="00A45E56"/>
    <w:rsid w:val="00A5401A"/>
    <w:rsid w:val="00A56055"/>
    <w:rsid w:val="00A561D2"/>
    <w:rsid w:val="00A609AF"/>
    <w:rsid w:val="00A6394F"/>
    <w:rsid w:val="00A651ED"/>
    <w:rsid w:val="00A663FA"/>
    <w:rsid w:val="00A7328C"/>
    <w:rsid w:val="00A74AB9"/>
    <w:rsid w:val="00A8067D"/>
    <w:rsid w:val="00A8123B"/>
    <w:rsid w:val="00A87B90"/>
    <w:rsid w:val="00A91635"/>
    <w:rsid w:val="00A96F24"/>
    <w:rsid w:val="00AA0B2D"/>
    <w:rsid w:val="00AA1DF8"/>
    <w:rsid w:val="00AA2AD2"/>
    <w:rsid w:val="00AA2E3F"/>
    <w:rsid w:val="00AA35DC"/>
    <w:rsid w:val="00AA648A"/>
    <w:rsid w:val="00AA7AF3"/>
    <w:rsid w:val="00AB02B9"/>
    <w:rsid w:val="00AB0C7D"/>
    <w:rsid w:val="00AB24EA"/>
    <w:rsid w:val="00AB461A"/>
    <w:rsid w:val="00AC026E"/>
    <w:rsid w:val="00AC279F"/>
    <w:rsid w:val="00AC56B6"/>
    <w:rsid w:val="00AD3D73"/>
    <w:rsid w:val="00AE1702"/>
    <w:rsid w:val="00AE2170"/>
    <w:rsid w:val="00AE227C"/>
    <w:rsid w:val="00AE2321"/>
    <w:rsid w:val="00AE75DD"/>
    <w:rsid w:val="00AF0DCB"/>
    <w:rsid w:val="00AF4014"/>
    <w:rsid w:val="00AF7170"/>
    <w:rsid w:val="00B00070"/>
    <w:rsid w:val="00B1753B"/>
    <w:rsid w:val="00B34D56"/>
    <w:rsid w:val="00B35D26"/>
    <w:rsid w:val="00B35DC1"/>
    <w:rsid w:val="00B41306"/>
    <w:rsid w:val="00B44F9C"/>
    <w:rsid w:val="00B47D1A"/>
    <w:rsid w:val="00B504C4"/>
    <w:rsid w:val="00B51A71"/>
    <w:rsid w:val="00B557BB"/>
    <w:rsid w:val="00B60E1C"/>
    <w:rsid w:val="00B637CB"/>
    <w:rsid w:val="00B64CDB"/>
    <w:rsid w:val="00B66376"/>
    <w:rsid w:val="00B669A8"/>
    <w:rsid w:val="00B67BBA"/>
    <w:rsid w:val="00B71863"/>
    <w:rsid w:val="00B71ADB"/>
    <w:rsid w:val="00B7278D"/>
    <w:rsid w:val="00B727B4"/>
    <w:rsid w:val="00B75331"/>
    <w:rsid w:val="00B7584A"/>
    <w:rsid w:val="00B810F4"/>
    <w:rsid w:val="00B822B6"/>
    <w:rsid w:val="00B824D7"/>
    <w:rsid w:val="00B83E3B"/>
    <w:rsid w:val="00B86E9B"/>
    <w:rsid w:val="00B91142"/>
    <w:rsid w:val="00B92819"/>
    <w:rsid w:val="00BA34A6"/>
    <w:rsid w:val="00BA6F78"/>
    <w:rsid w:val="00BB2821"/>
    <w:rsid w:val="00BC50A2"/>
    <w:rsid w:val="00BC54BA"/>
    <w:rsid w:val="00BC5C73"/>
    <w:rsid w:val="00BC610E"/>
    <w:rsid w:val="00BE06E3"/>
    <w:rsid w:val="00BE1AB4"/>
    <w:rsid w:val="00BE7B98"/>
    <w:rsid w:val="00BF356A"/>
    <w:rsid w:val="00BF4B12"/>
    <w:rsid w:val="00C00E56"/>
    <w:rsid w:val="00C0274B"/>
    <w:rsid w:val="00C0623F"/>
    <w:rsid w:val="00C07FE6"/>
    <w:rsid w:val="00C10BB1"/>
    <w:rsid w:val="00C11146"/>
    <w:rsid w:val="00C129E9"/>
    <w:rsid w:val="00C134E1"/>
    <w:rsid w:val="00C13BF0"/>
    <w:rsid w:val="00C1587E"/>
    <w:rsid w:val="00C20B44"/>
    <w:rsid w:val="00C2368E"/>
    <w:rsid w:val="00C25406"/>
    <w:rsid w:val="00C32778"/>
    <w:rsid w:val="00C33C6C"/>
    <w:rsid w:val="00C34D05"/>
    <w:rsid w:val="00C34E9E"/>
    <w:rsid w:val="00C376CE"/>
    <w:rsid w:val="00C45088"/>
    <w:rsid w:val="00C4535E"/>
    <w:rsid w:val="00C5159D"/>
    <w:rsid w:val="00C51913"/>
    <w:rsid w:val="00C5192C"/>
    <w:rsid w:val="00C51DD1"/>
    <w:rsid w:val="00C60467"/>
    <w:rsid w:val="00C66095"/>
    <w:rsid w:val="00C71697"/>
    <w:rsid w:val="00C72107"/>
    <w:rsid w:val="00C72FC5"/>
    <w:rsid w:val="00C73A29"/>
    <w:rsid w:val="00C8520E"/>
    <w:rsid w:val="00C8770D"/>
    <w:rsid w:val="00C97AC5"/>
    <w:rsid w:val="00CA0966"/>
    <w:rsid w:val="00CA1024"/>
    <w:rsid w:val="00CA4413"/>
    <w:rsid w:val="00CA683C"/>
    <w:rsid w:val="00CA749D"/>
    <w:rsid w:val="00CA7F2E"/>
    <w:rsid w:val="00CB5552"/>
    <w:rsid w:val="00CB583E"/>
    <w:rsid w:val="00CB5F4F"/>
    <w:rsid w:val="00CC1FB0"/>
    <w:rsid w:val="00CC306D"/>
    <w:rsid w:val="00CC3199"/>
    <w:rsid w:val="00CC3C67"/>
    <w:rsid w:val="00CC71B7"/>
    <w:rsid w:val="00CD1C6A"/>
    <w:rsid w:val="00CF3B65"/>
    <w:rsid w:val="00CF3E56"/>
    <w:rsid w:val="00CF426C"/>
    <w:rsid w:val="00CF6DE4"/>
    <w:rsid w:val="00CF6F2E"/>
    <w:rsid w:val="00D0099C"/>
    <w:rsid w:val="00D02154"/>
    <w:rsid w:val="00D077E1"/>
    <w:rsid w:val="00D07FEC"/>
    <w:rsid w:val="00D1239D"/>
    <w:rsid w:val="00D17D7C"/>
    <w:rsid w:val="00D22BBD"/>
    <w:rsid w:val="00D23805"/>
    <w:rsid w:val="00D246A7"/>
    <w:rsid w:val="00D24F61"/>
    <w:rsid w:val="00D30E87"/>
    <w:rsid w:val="00D31963"/>
    <w:rsid w:val="00D320EA"/>
    <w:rsid w:val="00D3232E"/>
    <w:rsid w:val="00D34333"/>
    <w:rsid w:val="00D3674B"/>
    <w:rsid w:val="00D50C01"/>
    <w:rsid w:val="00D51686"/>
    <w:rsid w:val="00D52755"/>
    <w:rsid w:val="00D56A87"/>
    <w:rsid w:val="00D57068"/>
    <w:rsid w:val="00D608C4"/>
    <w:rsid w:val="00D60A07"/>
    <w:rsid w:val="00D62EEA"/>
    <w:rsid w:val="00D64D06"/>
    <w:rsid w:val="00D7234F"/>
    <w:rsid w:val="00D74AD8"/>
    <w:rsid w:val="00D75ED6"/>
    <w:rsid w:val="00D760FD"/>
    <w:rsid w:val="00D81F3F"/>
    <w:rsid w:val="00D87858"/>
    <w:rsid w:val="00D92F3A"/>
    <w:rsid w:val="00D9739A"/>
    <w:rsid w:val="00D97B54"/>
    <w:rsid w:val="00DA2EF1"/>
    <w:rsid w:val="00DB0C11"/>
    <w:rsid w:val="00DB0F17"/>
    <w:rsid w:val="00DB298E"/>
    <w:rsid w:val="00DB4F57"/>
    <w:rsid w:val="00DB51DD"/>
    <w:rsid w:val="00DB6247"/>
    <w:rsid w:val="00DB6AFE"/>
    <w:rsid w:val="00DC015F"/>
    <w:rsid w:val="00DC5679"/>
    <w:rsid w:val="00DC5E31"/>
    <w:rsid w:val="00DC6493"/>
    <w:rsid w:val="00DC67BD"/>
    <w:rsid w:val="00DD1727"/>
    <w:rsid w:val="00DE274C"/>
    <w:rsid w:val="00DE5C19"/>
    <w:rsid w:val="00DF1D48"/>
    <w:rsid w:val="00DF37E5"/>
    <w:rsid w:val="00DF613A"/>
    <w:rsid w:val="00DF6D99"/>
    <w:rsid w:val="00E06C60"/>
    <w:rsid w:val="00E20E3B"/>
    <w:rsid w:val="00E23056"/>
    <w:rsid w:val="00E245D7"/>
    <w:rsid w:val="00E3238C"/>
    <w:rsid w:val="00E345E3"/>
    <w:rsid w:val="00E36400"/>
    <w:rsid w:val="00E407CE"/>
    <w:rsid w:val="00E46C3E"/>
    <w:rsid w:val="00E475B4"/>
    <w:rsid w:val="00E51096"/>
    <w:rsid w:val="00E5254D"/>
    <w:rsid w:val="00E5294F"/>
    <w:rsid w:val="00E539E7"/>
    <w:rsid w:val="00E54255"/>
    <w:rsid w:val="00E55163"/>
    <w:rsid w:val="00E614AF"/>
    <w:rsid w:val="00E63626"/>
    <w:rsid w:val="00E6616A"/>
    <w:rsid w:val="00E664C7"/>
    <w:rsid w:val="00E716DE"/>
    <w:rsid w:val="00E729C4"/>
    <w:rsid w:val="00E72C69"/>
    <w:rsid w:val="00E74A65"/>
    <w:rsid w:val="00E7531D"/>
    <w:rsid w:val="00E7532D"/>
    <w:rsid w:val="00E7775F"/>
    <w:rsid w:val="00E8028B"/>
    <w:rsid w:val="00E8661C"/>
    <w:rsid w:val="00E87CCB"/>
    <w:rsid w:val="00E962FE"/>
    <w:rsid w:val="00E96924"/>
    <w:rsid w:val="00E96C17"/>
    <w:rsid w:val="00EA0189"/>
    <w:rsid w:val="00EA1254"/>
    <w:rsid w:val="00EA2BDB"/>
    <w:rsid w:val="00EA4583"/>
    <w:rsid w:val="00EA52CD"/>
    <w:rsid w:val="00EB37E2"/>
    <w:rsid w:val="00EB6AF4"/>
    <w:rsid w:val="00EC16F8"/>
    <w:rsid w:val="00EC453B"/>
    <w:rsid w:val="00EC4FBD"/>
    <w:rsid w:val="00EC5B8F"/>
    <w:rsid w:val="00EC5CA5"/>
    <w:rsid w:val="00ED7FA6"/>
    <w:rsid w:val="00EE3F6A"/>
    <w:rsid w:val="00EE4DD5"/>
    <w:rsid w:val="00EF0F5F"/>
    <w:rsid w:val="00EF133E"/>
    <w:rsid w:val="00F00ED0"/>
    <w:rsid w:val="00F10241"/>
    <w:rsid w:val="00F10E81"/>
    <w:rsid w:val="00F11FF0"/>
    <w:rsid w:val="00F12D62"/>
    <w:rsid w:val="00F1315C"/>
    <w:rsid w:val="00F1479E"/>
    <w:rsid w:val="00F21397"/>
    <w:rsid w:val="00F2150F"/>
    <w:rsid w:val="00F30BA6"/>
    <w:rsid w:val="00F31FBA"/>
    <w:rsid w:val="00F413F7"/>
    <w:rsid w:val="00F44E1B"/>
    <w:rsid w:val="00F5040B"/>
    <w:rsid w:val="00F528A0"/>
    <w:rsid w:val="00F558CB"/>
    <w:rsid w:val="00F56640"/>
    <w:rsid w:val="00F57557"/>
    <w:rsid w:val="00F615B8"/>
    <w:rsid w:val="00F627EF"/>
    <w:rsid w:val="00F65BD0"/>
    <w:rsid w:val="00F67582"/>
    <w:rsid w:val="00F67ED7"/>
    <w:rsid w:val="00F75070"/>
    <w:rsid w:val="00F76601"/>
    <w:rsid w:val="00F84D20"/>
    <w:rsid w:val="00F852C6"/>
    <w:rsid w:val="00FA14DF"/>
    <w:rsid w:val="00FA3785"/>
    <w:rsid w:val="00FA5925"/>
    <w:rsid w:val="00FC4376"/>
    <w:rsid w:val="00FC4B47"/>
    <w:rsid w:val="00FC5FBB"/>
    <w:rsid w:val="00FC604D"/>
    <w:rsid w:val="00FD0A32"/>
    <w:rsid w:val="00FD0FB3"/>
    <w:rsid w:val="00FD254A"/>
    <w:rsid w:val="00FE29F7"/>
    <w:rsid w:val="00FE6D0B"/>
    <w:rsid w:val="00FF0491"/>
    <w:rsid w:val="00FF67D3"/>
    <w:rsid w:val="00FF6FFD"/>
    <w:rsid w:val="00FF7F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F7637"/>
  <w15:docId w15:val="{6C7E33F6-B1F4-F44C-8582-50F7FEDD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C0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A82"/>
    <w:rPr>
      <w:lang w:val="en-GB"/>
    </w:rPr>
  </w:style>
  <w:style w:type="paragraph" w:styleId="Footer">
    <w:name w:val="footer"/>
    <w:basedOn w:val="Normal"/>
    <w:link w:val="FooterChar"/>
    <w:uiPriority w:val="99"/>
    <w:unhideWhenUsed/>
    <w:rsid w:val="008C0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A82"/>
    <w:rPr>
      <w:lang w:val="en-GB"/>
    </w:rPr>
  </w:style>
  <w:style w:type="character" w:customStyle="1" w:styleId="Heading1Char">
    <w:name w:val="Heading 1 Char"/>
    <w:basedOn w:val="DefaultParagraphFont"/>
    <w:link w:val="Heading1"/>
    <w:uiPriority w:val="9"/>
    <w:rsid w:val="008C0A82"/>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8C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A82"/>
    <w:rPr>
      <w:rFonts w:asciiTheme="majorHAnsi" w:eastAsiaTheme="majorEastAsia" w:hAnsiTheme="majorHAnsi" w:cstheme="majorBidi"/>
      <w:spacing w:val="-10"/>
      <w:kern w:val="28"/>
      <w:sz w:val="56"/>
      <w:szCs w:val="56"/>
      <w:lang w:val="en-GB"/>
    </w:rPr>
  </w:style>
  <w:style w:type="paragraph" w:styleId="NoSpacing">
    <w:name w:val="No Spacing"/>
    <w:link w:val="NoSpacingChar"/>
    <w:uiPriority w:val="1"/>
    <w:qFormat/>
    <w:rsid w:val="00281A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1A10"/>
    <w:rPr>
      <w:rFonts w:eastAsiaTheme="minorEastAsia"/>
      <w:lang w:val="en-US"/>
    </w:rPr>
  </w:style>
  <w:style w:type="character" w:styleId="Hyperlink">
    <w:name w:val="Hyperlink"/>
    <w:basedOn w:val="DefaultParagraphFont"/>
    <w:uiPriority w:val="99"/>
    <w:unhideWhenUsed/>
    <w:rsid w:val="00CB5552"/>
    <w:rPr>
      <w:color w:val="0563C1" w:themeColor="hyperlink"/>
      <w:u w:val="single"/>
    </w:rPr>
  </w:style>
  <w:style w:type="paragraph" w:styleId="ListParagraph">
    <w:name w:val="List Paragraph"/>
    <w:basedOn w:val="Normal"/>
    <w:uiPriority w:val="34"/>
    <w:qFormat/>
    <w:rsid w:val="00CB5552"/>
    <w:pPr>
      <w:ind w:left="720"/>
      <w:contextualSpacing/>
    </w:pPr>
  </w:style>
  <w:style w:type="character" w:customStyle="1" w:styleId="Heading2Char">
    <w:name w:val="Heading 2 Char"/>
    <w:basedOn w:val="DefaultParagraphFont"/>
    <w:link w:val="Heading2"/>
    <w:uiPriority w:val="9"/>
    <w:rsid w:val="00413E17"/>
    <w:rPr>
      <w:rFonts w:asciiTheme="majorHAnsi" w:eastAsiaTheme="majorEastAsia" w:hAnsiTheme="majorHAnsi" w:cstheme="majorBidi"/>
      <w:color w:val="2F5496" w:themeColor="accent1" w:themeShade="BF"/>
      <w:sz w:val="26"/>
      <w:szCs w:val="26"/>
      <w:lang w:val="en-GB"/>
    </w:rPr>
  </w:style>
  <w:style w:type="paragraph" w:styleId="FootnoteText">
    <w:name w:val="footnote text"/>
    <w:basedOn w:val="Normal"/>
    <w:link w:val="FootnoteTextChar"/>
    <w:uiPriority w:val="99"/>
    <w:semiHidden/>
    <w:unhideWhenUsed/>
    <w:rsid w:val="00413E17"/>
    <w:pPr>
      <w:spacing w:after="0" w:line="240" w:lineRule="auto"/>
    </w:pPr>
    <w:rPr>
      <w:sz w:val="20"/>
      <w:szCs w:val="20"/>
      <w:lang w:val="en-AU"/>
    </w:rPr>
  </w:style>
  <w:style w:type="character" w:customStyle="1" w:styleId="FootnoteTextChar">
    <w:name w:val="Footnote Text Char"/>
    <w:basedOn w:val="DefaultParagraphFont"/>
    <w:link w:val="FootnoteText"/>
    <w:uiPriority w:val="99"/>
    <w:semiHidden/>
    <w:rsid w:val="00413E17"/>
    <w:rPr>
      <w:sz w:val="20"/>
      <w:szCs w:val="20"/>
    </w:rPr>
  </w:style>
  <w:style w:type="character" w:styleId="FootnoteReference">
    <w:name w:val="footnote reference"/>
    <w:basedOn w:val="DefaultParagraphFont"/>
    <w:uiPriority w:val="99"/>
    <w:semiHidden/>
    <w:unhideWhenUsed/>
    <w:rsid w:val="00413E17"/>
    <w:rPr>
      <w:vertAlign w:val="superscript"/>
    </w:rPr>
  </w:style>
  <w:style w:type="character" w:styleId="Strong">
    <w:name w:val="Strong"/>
    <w:basedOn w:val="DefaultParagraphFont"/>
    <w:uiPriority w:val="22"/>
    <w:qFormat/>
    <w:rsid w:val="00DC5679"/>
    <w:rPr>
      <w:b/>
      <w:bCs/>
    </w:rPr>
  </w:style>
  <w:style w:type="character" w:styleId="CommentReference">
    <w:name w:val="annotation reference"/>
    <w:uiPriority w:val="99"/>
    <w:rsid w:val="00DC5679"/>
    <w:rPr>
      <w:sz w:val="16"/>
      <w:szCs w:val="16"/>
    </w:rPr>
  </w:style>
  <w:style w:type="paragraph" w:styleId="CommentText">
    <w:name w:val="annotation text"/>
    <w:basedOn w:val="Normal"/>
    <w:link w:val="CommentTextChar"/>
    <w:uiPriority w:val="99"/>
    <w:rsid w:val="00DC5679"/>
    <w:pPr>
      <w:spacing w:after="0" w:line="240" w:lineRule="atLeast"/>
    </w:pPr>
    <w:rPr>
      <w:rFonts w:ascii="Arial" w:eastAsia="Times New Roman" w:hAnsi="Arial" w:cs="Times New Roman"/>
      <w:sz w:val="20"/>
      <w:szCs w:val="20"/>
      <w:lang w:val="en-AU" w:eastAsia="en-AU"/>
    </w:rPr>
  </w:style>
  <w:style w:type="character" w:customStyle="1" w:styleId="CommentTextChar">
    <w:name w:val="Comment Text Char"/>
    <w:basedOn w:val="DefaultParagraphFont"/>
    <w:link w:val="CommentText"/>
    <w:uiPriority w:val="99"/>
    <w:rsid w:val="00DC5679"/>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8D4A62"/>
    <w:pPr>
      <w:spacing w:after="160" w:line="240" w:lineRule="auto"/>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8D4A62"/>
    <w:rPr>
      <w:rFonts w:ascii="Arial" w:eastAsia="Times New Roman" w:hAnsi="Arial" w:cs="Times New Roman"/>
      <w:b/>
      <w:bCs/>
      <w:sz w:val="20"/>
      <w:szCs w:val="20"/>
      <w:lang w:val="en-GB" w:eastAsia="en-AU"/>
    </w:rPr>
  </w:style>
  <w:style w:type="paragraph" w:styleId="Revision">
    <w:name w:val="Revision"/>
    <w:hidden/>
    <w:uiPriority w:val="99"/>
    <w:semiHidden/>
    <w:rsid w:val="008D4A62"/>
    <w:pPr>
      <w:spacing w:after="0" w:line="240" w:lineRule="auto"/>
    </w:pPr>
    <w:rPr>
      <w:lang w:val="en-GB"/>
    </w:rPr>
  </w:style>
  <w:style w:type="paragraph" w:styleId="BalloonText">
    <w:name w:val="Balloon Text"/>
    <w:basedOn w:val="Normal"/>
    <w:link w:val="BalloonTextChar"/>
    <w:uiPriority w:val="99"/>
    <w:semiHidden/>
    <w:unhideWhenUsed/>
    <w:rsid w:val="00003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270"/>
    <w:rPr>
      <w:rFonts w:ascii="Segoe UI" w:hAnsi="Segoe UI" w:cs="Segoe UI"/>
      <w:sz w:val="18"/>
      <w:szCs w:val="18"/>
      <w:lang w:val="en-GB"/>
    </w:rPr>
  </w:style>
  <w:style w:type="character" w:customStyle="1" w:styleId="UnresolvedMention1">
    <w:name w:val="Unresolved Mention1"/>
    <w:basedOn w:val="DefaultParagraphFont"/>
    <w:uiPriority w:val="99"/>
    <w:semiHidden/>
    <w:unhideWhenUsed/>
    <w:rsid w:val="002B24FB"/>
    <w:rPr>
      <w:color w:val="605E5C"/>
      <w:shd w:val="clear" w:color="auto" w:fill="E1DFDD"/>
    </w:rPr>
  </w:style>
  <w:style w:type="character" w:styleId="UnresolvedMention">
    <w:name w:val="Unresolved Mention"/>
    <w:basedOn w:val="DefaultParagraphFont"/>
    <w:uiPriority w:val="99"/>
    <w:semiHidden/>
    <w:unhideWhenUsed/>
    <w:rsid w:val="00955839"/>
    <w:rPr>
      <w:color w:val="605E5C"/>
      <w:shd w:val="clear" w:color="auto" w:fill="E1DFDD"/>
    </w:rPr>
  </w:style>
  <w:style w:type="paragraph" w:customStyle="1" w:styleId="Bullet1">
    <w:name w:val="Bullet 1"/>
    <w:basedOn w:val="Normal"/>
    <w:rsid w:val="00B669A8"/>
    <w:pPr>
      <w:numPr>
        <w:numId w:val="6"/>
      </w:numPr>
      <w:spacing w:after="240" w:line="240" w:lineRule="atLeast"/>
      <w:ind w:left="0" w:firstLine="0"/>
    </w:pPr>
    <w:rPr>
      <w:rFonts w:ascii="Arial" w:hAnsi="Arial" w:cs="Arial"/>
      <w:color w:val="1C1C1C"/>
      <w:spacing w:val="-2"/>
      <w:sz w:val="19"/>
      <w:szCs w:val="19"/>
      <w:lang w:val="en-AU"/>
    </w:rPr>
  </w:style>
  <w:style w:type="paragraph" w:customStyle="1" w:styleId="Bullet2">
    <w:name w:val="Bullet 2"/>
    <w:basedOn w:val="Normal"/>
    <w:rsid w:val="00B669A8"/>
    <w:pPr>
      <w:numPr>
        <w:ilvl w:val="1"/>
        <w:numId w:val="6"/>
      </w:numPr>
      <w:spacing w:after="240" w:line="240" w:lineRule="atLeast"/>
    </w:pPr>
    <w:rPr>
      <w:rFonts w:ascii="Arial" w:hAnsi="Arial" w:cs="Arial"/>
      <w:color w:val="1C1C1C"/>
      <w:sz w:val="19"/>
      <w:szCs w:val="19"/>
      <w:lang w:val="en-AU"/>
    </w:rPr>
  </w:style>
  <w:style w:type="paragraph" w:customStyle="1" w:styleId="Bullet3">
    <w:name w:val="Bullet 3"/>
    <w:basedOn w:val="Normal"/>
    <w:rsid w:val="00B669A8"/>
    <w:pPr>
      <w:numPr>
        <w:ilvl w:val="2"/>
        <w:numId w:val="6"/>
      </w:numPr>
      <w:spacing w:after="240" w:line="240" w:lineRule="atLeast"/>
    </w:pPr>
    <w:rPr>
      <w:rFonts w:ascii="Arial" w:hAnsi="Arial" w:cs="Arial"/>
      <w:color w:val="1C1C1C"/>
      <w:sz w:val="19"/>
      <w:szCs w:val="19"/>
      <w:lang w:val="en-AU"/>
    </w:rPr>
  </w:style>
  <w:style w:type="paragraph" w:customStyle="1" w:styleId="Bullet4">
    <w:name w:val="Bullet 4"/>
    <w:basedOn w:val="Normal"/>
    <w:rsid w:val="00B669A8"/>
    <w:pPr>
      <w:numPr>
        <w:ilvl w:val="3"/>
        <w:numId w:val="6"/>
      </w:numPr>
      <w:spacing w:after="240" w:line="240" w:lineRule="atLeast"/>
    </w:pPr>
    <w:rPr>
      <w:rFonts w:ascii="Arial" w:hAnsi="Arial" w:cs="Arial"/>
      <w:color w:val="1C1C1C"/>
      <w:sz w:val="19"/>
      <w:szCs w:val="19"/>
      <w:lang w:val="en-AU"/>
    </w:rPr>
  </w:style>
  <w:style w:type="numbering" w:customStyle="1" w:styleId="Bullets">
    <w:name w:val="Bullets"/>
    <w:uiPriority w:val="99"/>
    <w:rsid w:val="00B669A8"/>
    <w:pPr>
      <w:numPr>
        <w:numId w:val="6"/>
      </w:numPr>
    </w:pPr>
  </w:style>
  <w:style w:type="character" w:customStyle="1" w:styleId="Heading3Char">
    <w:name w:val="Heading 3 Char"/>
    <w:basedOn w:val="DefaultParagraphFont"/>
    <w:link w:val="Heading3"/>
    <w:uiPriority w:val="9"/>
    <w:rsid w:val="009565DE"/>
    <w:rPr>
      <w:rFonts w:asciiTheme="majorHAnsi" w:eastAsiaTheme="majorEastAsia" w:hAnsiTheme="majorHAnsi" w:cstheme="majorBidi"/>
      <w:color w:val="1F3763" w:themeColor="accent1" w:themeShade="7F"/>
      <w:sz w:val="24"/>
      <w:szCs w:val="24"/>
      <w:lang w:val="en-GB"/>
    </w:rPr>
  </w:style>
  <w:style w:type="character" w:styleId="Emphasis">
    <w:name w:val="Emphasis"/>
    <w:basedOn w:val="DefaultParagraphFont"/>
    <w:uiPriority w:val="20"/>
    <w:qFormat/>
    <w:rsid w:val="00401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6889">
      <w:bodyDiv w:val="1"/>
      <w:marLeft w:val="0"/>
      <w:marRight w:val="0"/>
      <w:marTop w:val="0"/>
      <w:marBottom w:val="0"/>
      <w:divBdr>
        <w:top w:val="none" w:sz="0" w:space="0" w:color="auto"/>
        <w:left w:val="none" w:sz="0" w:space="0" w:color="auto"/>
        <w:bottom w:val="none" w:sz="0" w:space="0" w:color="auto"/>
        <w:right w:val="none" w:sz="0" w:space="0" w:color="auto"/>
      </w:divBdr>
    </w:div>
    <w:div w:id="1324238608">
      <w:bodyDiv w:val="1"/>
      <w:marLeft w:val="0"/>
      <w:marRight w:val="0"/>
      <w:marTop w:val="0"/>
      <w:marBottom w:val="0"/>
      <w:divBdr>
        <w:top w:val="none" w:sz="0" w:space="0" w:color="auto"/>
        <w:left w:val="none" w:sz="0" w:space="0" w:color="auto"/>
        <w:bottom w:val="none" w:sz="0" w:space="0" w:color="auto"/>
        <w:right w:val="none" w:sz="0" w:space="0" w:color="auto"/>
      </w:divBdr>
      <w:divsChild>
        <w:div w:id="57292943">
          <w:marLeft w:val="0"/>
          <w:marRight w:val="0"/>
          <w:marTop w:val="0"/>
          <w:marBottom w:val="0"/>
          <w:divBdr>
            <w:top w:val="none" w:sz="0" w:space="0" w:color="auto"/>
            <w:left w:val="none" w:sz="0" w:space="0" w:color="auto"/>
            <w:bottom w:val="none" w:sz="0" w:space="0" w:color="auto"/>
            <w:right w:val="none" w:sz="0" w:space="0" w:color="auto"/>
          </w:divBdr>
        </w:div>
        <w:div w:id="1700232389">
          <w:marLeft w:val="0"/>
          <w:marRight w:val="0"/>
          <w:marTop w:val="0"/>
          <w:marBottom w:val="0"/>
          <w:divBdr>
            <w:top w:val="none" w:sz="0" w:space="0" w:color="auto"/>
            <w:left w:val="none" w:sz="0" w:space="0" w:color="auto"/>
            <w:bottom w:val="none" w:sz="0" w:space="0" w:color="auto"/>
            <w:right w:val="none" w:sz="0" w:space="0" w:color="auto"/>
          </w:divBdr>
        </w:div>
        <w:div w:id="874316769">
          <w:marLeft w:val="0"/>
          <w:marRight w:val="0"/>
          <w:marTop w:val="0"/>
          <w:marBottom w:val="0"/>
          <w:divBdr>
            <w:top w:val="none" w:sz="0" w:space="0" w:color="auto"/>
            <w:left w:val="none" w:sz="0" w:space="0" w:color="auto"/>
            <w:bottom w:val="none" w:sz="0" w:space="0" w:color="auto"/>
            <w:right w:val="none" w:sz="0" w:space="0" w:color="auto"/>
          </w:divBdr>
          <w:divsChild>
            <w:div w:id="5582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454">
      <w:bodyDiv w:val="1"/>
      <w:marLeft w:val="0"/>
      <w:marRight w:val="0"/>
      <w:marTop w:val="0"/>
      <w:marBottom w:val="0"/>
      <w:divBdr>
        <w:top w:val="none" w:sz="0" w:space="0" w:color="auto"/>
        <w:left w:val="none" w:sz="0" w:space="0" w:color="auto"/>
        <w:bottom w:val="none" w:sz="0" w:space="0" w:color="auto"/>
        <w:right w:val="none" w:sz="0" w:space="0" w:color="auto"/>
      </w:divBdr>
    </w:div>
    <w:div w:id="1567450563">
      <w:bodyDiv w:val="1"/>
      <w:marLeft w:val="0"/>
      <w:marRight w:val="0"/>
      <w:marTop w:val="0"/>
      <w:marBottom w:val="0"/>
      <w:divBdr>
        <w:top w:val="none" w:sz="0" w:space="0" w:color="auto"/>
        <w:left w:val="none" w:sz="0" w:space="0" w:color="auto"/>
        <w:bottom w:val="none" w:sz="0" w:space="0" w:color="auto"/>
        <w:right w:val="none" w:sz="0" w:space="0" w:color="auto"/>
      </w:divBdr>
    </w:div>
    <w:div w:id="1585843876">
      <w:bodyDiv w:val="1"/>
      <w:marLeft w:val="0"/>
      <w:marRight w:val="0"/>
      <w:marTop w:val="0"/>
      <w:marBottom w:val="0"/>
      <w:divBdr>
        <w:top w:val="none" w:sz="0" w:space="0" w:color="auto"/>
        <w:left w:val="none" w:sz="0" w:space="0" w:color="auto"/>
        <w:bottom w:val="none" w:sz="0" w:space="0" w:color="auto"/>
        <w:right w:val="none" w:sz="0" w:space="0" w:color="auto"/>
      </w:divBdr>
    </w:div>
    <w:div w:id="1861233738">
      <w:bodyDiv w:val="1"/>
      <w:marLeft w:val="0"/>
      <w:marRight w:val="0"/>
      <w:marTop w:val="0"/>
      <w:marBottom w:val="0"/>
      <w:divBdr>
        <w:top w:val="none" w:sz="0" w:space="0" w:color="auto"/>
        <w:left w:val="none" w:sz="0" w:space="0" w:color="auto"/>
        <w:bottom w:val="none" w:sz="0" w:space="0" w:color="auto"/>
        <w:right w:val="none" w:sz="0" w:space="0" w:color="auto"/>
      </w:divBdr>
    </w:div>
    <w:div w:id="1873028075">
      <w:bodyDiv w:val="1"/>
      <w:marLeft w:val="0"/>
      <w:marRight w:val="0"/>
      <w:marTop w:val="0"/>
      <w:marBottom w:val="0"/>
      <w:divBdr>
        <w:top w:val="none" w:sz="0" w:space="0" w:color="auto"/>
        <w:left w:val="none" w:sz="0" w:space="0" w:color="auto"/>
        <w:bottom w:val="none" w:sz="0" w:space="0" w:color="auto"/>
        <w:right w:val="none" w:sz="0" w:space="0" w:color="auto"/>
      </w:divBdr>
      <w:divsChild>
        <w:div w:id="1324162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rank.zeichner@iot.org.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4BE6C749044B24B649B646D34F3767"/>
        <w:category>
          <w:name w:val="General"/>
          <w:gallery w:val="placeholder"/>
        </w:category>
        <w:types>
          <w:type w:val="bbPlcHdr"/>
        </w:types>
        <w:behaviors>
          <w:behavior w:val="content"/>
        </w:behaviors>
        <w:guid w:val="{E7782806-5424-49D8-80C0-3AF1DE35FB29}"/>
      </w:docPartPr>
      <w:docPartBody>
        <w:p w:rsidR="00DA5130" w:rsidRDefault="00727E8E" w:rsidP="00727E8E">
          <w:pPr>
            <w:pStyle w:val="184BE6C749044B24B649B646D34F376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E8E"/>
    <w:rsid w:val="00193A37"/>
    <w:rsid w:val="001D0CF6"/>
    <w:rsid w:val="002461F9"/>
    <w:rsid w:val="0031470E"/>
    <w:rsid w:val="00375E6B"/>
    <w:rsid w:val="00495F7B"/>
    <w:rsid w:val="00556FF6"/>
    <w:rsid w:val="006F6FD5"/>
    <w:rsid w:val="006F7EC6"/>
    <w:rsid w:val="00727E8E"/>
    <w:rsid w:val="00751E1F"/>
    <w:rsid w:val="0078076A"/>
    <w:rsid w:val="008B2216"/>
    <w:rsid w:val="008C4C44"/>
    <w:rsid w:val="009224C5"/>
    <w:rsid w:val="00A00159"/>
    <w:rsid w:val="00A979B9"/>
    <w:rsid w:val="00AA2232"/>
    <w:rsid w:val="00AF56D7"/>
    <w:rsid w:val="00B025BB"/>
    <w:rsid w:val="00B31BE1"/>
    <w:rsid w:val="00D07B1C"/>
    <w:rsid w:val="00DA5130"/>
    <w:rsid w:val="00EA5F2A"/>
    <w:rsid w:val="00EF7AE2"/>
    <w:rsid w:val="00F614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4BE6C749044B24B649B646D34F3767">
    <w:name w:val="184BE6C749044B24B649B646D34F3767"/>
    <w:rsid w:val="00727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9299FA30B7B24ABF03C68B73BEDA03" ma:contentTypeVersion="12" ma:contentTypeDescription="Create a new document." ma:contentTypeScope="" ma:versionID="81c8d97214c6b7dfd97770662a343b51">
  <xsd:schema xmlns:xsd="http://www.w3.org/2001/XMLSchema" xmlns:xs="http://www.w3.org/2001/XMLSchema" xmlns:p="http://schemas.microsoft.com/office/2006/metadata/properties" xmlns:ns3="f03cc0f5-623a-460d-a3db-580db590fc83" xmlns:ns4="ea01fd77-09ef-406e-bd27-d21da3af5838" targetNamespace="http://schemas.microsoft.com/office/2006/metadata/properties" ma:root="true" ma:fieldsID="b33b47464c475f7ad3e388c233dca5d9" ns3:_="" ns4:_="">
    <xsd:import namespace="f03cc0f5-623a-460d-a3db-580db590fc83"/>
    <xsd:import namespace="ea01fd77-09ef-406e-bd27-d21da3af58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cc0f5-623a-460d-a3db-580db590f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1fd77-09ef-406e-bd27-d21da3af58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D404E5-EC56-4475-8A2C-ECCADE084A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A02E64-E81B-41F9-8E35-6C8B6732C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cc0f5-623a-460d-a3db-580db590fc83"/>
    <ds:schemaRef ds:uri="ea01fd77-09ef-406e-bd27-d21da3af5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3946A-29A7-EC49-A60B-701B0EC4275F}">
  <ds:schemaRefs>
    <ds:schemaRef ds:uri="http://schemas.openxmlformats.org/officeDocument/2006/bibliography"/>
  </ds:schemaRefs>
</ds:datastoreItem>
</file>

<file path=customXml/itemProps4.xml><?xml version="1.0" encoding="utf-8"?>
<ds:datastoreItem xmlns:ds="http://schemas.openxmlformats.org/officeDocument/2006/customXml" ds:itemID="{D394C85C-EAE3-4055-984E-5606CBC35D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Response to Strategic Assessment Consultation of the Consumer Data Right (CDR) and its implementation</vt:lpstr>
    </vt:vector>
  </TitlesOfParts>
  <Company>Strengthening Australia’s Cyber Security Regulations and Incentives Discussion Paper</Company>
  <LinksUpToDate>false</LinksUpToDate>
  <CharactersWithSpaces>18010</CharactersWithSpaces>
  <SharedDoc>false</SharedDoc>
  <HLinks>
    <vt:vector size="24" baseType="variant">
      <vt:variant>
        <vt:i4>7733352</vt:i4>
      </vt:variant>
      <vt:variant>
        <vt:i4>3</vt:i4>
      </vt:variant>
      <vt:variant>
        <vt:i4>0</vt:i4>
      </vt:variant>
      <vt:variant>
        <vt:i4>5</vt:i4>
      </vt:variant>
      <vt:variant>
        <vt:lpwstr>https://www.homeaffairs.gov.au/reports-and-pubs/files/code-of-practice.pdf</vt:lpwstr>
      </vt:variant>
      <vt:variant>
        <vt:lpwstr/>
      </vt:variant>
      <vt:variant>
        <vt:i4>3670038</vt:i4>
      </vt:variant>
      <vt:variant>
        <vt:i4>0</vt:i4>
      </vt:variant>
      <vt:variant>
        <vt:i4>0</vt:i4>
      </vt:variant>
      <vt:variant>
        <vt:i4>5</vt:i4>
      </vt:variant>
      <vt:variant>
        <vt:lpwstr>mailto:frank.zeichner@iot.org.au</vt:lpwstr>
      </vt:variant>
      <vt:variant>
        <vt:lpwstr/>
      </vt:variant>
      <vt:variant>
        <vt:i4>458769</vt:i4>
      </vt:variant>
      <vt:variant>
        <vt:i4>0</vt:i4>
      </vt:variant>
      <vt:variant>
        <vt:i4>0</vt:i4>
      </vt:variant>
      <vt:variant>
        <vt:i4>5</vt:i4>
      </vt:variant>
      <vt:variant>
        <vt:lpwstr>http://www.abc.net.au/news/2020-06-24/security-cameras-hacked-streamed-on-russianwebsite/12380606</vt:lpwstr>
      </vt:variant>
      <vt:variant>
        <vt:lpwstr/>
      </vt:variant>
      <vt:variant>
        <vt:i4>5963870</vt:i4>
      </vt:variant>
      <vt:variant>
        <vt:i4>0</vt:i4>
      </vt:variant>
      <vt:variant>
        <vt:i4>0</vt:i4>
      </vt:variant>
      <vt:variant>
        <vt:i4>5</vt:i4>
      </vt:variant>
      <vt:variant>
        <vt:lpwstr>https://iot.org.au/wp/wp-content/uploads/2020/09/IoTAA-Submission-CI-and-SoNS-Consultation-Aug-Final.pdf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Strategic Assessment Consultation of the Consumer Data Right (CDR) and its Implementation</dc:title>
  <dc:subject/>
  <dc:creator>Laura Hamilton</dc:creator>
  <cp:keywords/>
  <dc:description/>
  <cp:lastModifiedBy>Frank Zeichner</cp:lastModifiedBy>
  <cp:revision>2</cp:revision>
  <dcterms:created xsi:type="dcterms:W3CDTF">2021-09-02T12:32:00Z</dcterms:created>
  <dcterms:modified xsi:type="dcterms:W3CDTF">2021-09-02T12:32:00Z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0x0101000E9299FA30B7B24ABF03C68B73BEDA03</vt:lpwstr>
  </property>
</Properties>
</file>