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F311" w14:textId="36173226" w:rsidR="00125E39" w:rsidRDefault="007C02CE">
      <w:r>
        <w:t>Justificación del Marco Temporal de 4 a 8 Semanas</w:t>
      </w:r>
    </w:p>
    <w:p w14:paraId="17D52A6B" w14:textId="67C90490" w:rsidR="007C02CE" w:rsidRDefault="007C02CE">
      <w:r>
        <w:t>Microproyecto BIOMAC — Grupo 11 · Dengue en Colombia</w:t>
      </w:r>
    </w:p>
    <w:p w14:paraId="78A74AAD" w14:textId="77777777" w:rsidR="007C02CE" w:rsidRDefault="007C02CE"/>
    <w:p w14:paraId="2F879810" w14:textId="7FE15A80" w:rsidR="007C02CE" w:rsidRDefault="007C02CE">
      <w:r>
        <w:t>1. Justificación operativa y de salud pública</w:t>
      </w:r>
    </w:p>
    <w:p w14:paraId="2ACBE29A" w14:textId="0ACA5665" w:rsidR="007C02CE" w:rsidRDefault="007C02CE" w:rsidP="007C02CE">
      <w:r>
        <w:t>Las secretarías de salud municipales requieren entre 3 y 6 semanas para desplegar acciones preventivas efectivas: adquisición de insumos para control larvario, fumigación, movilización de brigadas y comunicación de riesgo a la comunidad. Un horizonte inferior a 4 semanas convierte la respuesta institucional en reactiva. Un horizonte superior a 8–12 semanas acumula incertidumbre climática y epidemiológica que degrada la precisión del modelo.</w:t>
      </w:r>
    </w:p>
    <w:p w14:paraId="17EB42D8" w14:textId="77777777" w:rsidR="007C02CE" w:rsidRDefault="007C02CE" w:rsidP="007C02CE"/>
    <w:p w14:paraId="5FC67D40" w14:textId="5CBFE135" w:rsidR="007C02CE" w:rsidRDefault="007C02CE" w:rsidP="007C02CE">
      <w:r>
        <w:t>Fuente principal</w:t>
      </w:r>
    </w:p>
    <w:p w14:paraId="62C40F8B" w14:textId="16953951" w:rsidR="007C02CE" w:rsidRDefault="007C02CE" w:rsidP="007C02CE">
      <w:r>
        <w:t>World Health Organization (WHO) &amp; Special Programme for Research and Training in Tropical Diseases (TDR). (2012). Technical handbook for dengue surveillance, outbreak management, and communication. World Health Organization. ISBN: 978-92-4-150403-4.</w:t>
      </w:r>
    </w:p>
    <w:p w14:paraId="0FB6946A" w14:textId="6A68533D" w:rsidR="007C02CE" w:rsidRDefault="007C02CE" w:rsidP="007C02CE">
      <w:r>
        <w:t>→ Aporte clave: Define las fases de preparación, alerta temprana e intervención rápida. Establece que una alerta con 4–8 semanas de antelación es el umbral operativo mínimo para activar las cadenas de respuesta institucional.</w:t>
      </w:r>
    </w:p>
    <w:p w14:paraId="36750593" w14:textId="77777777" w:rsidR="007C02CE" w:rsidRDefault="007C02CE" w:rsidP="007C02CE"/>
    <w:p w14:paraId="04AE723A" w14:textId="3360CDB9" w:rsidR="007C02CE" w:rsidRDefault="007C02CE" w:rsidP="007C02CE">
      <w:r>
        <w:t>2. Justificación epidemiológica — ciclo biológico del vector</w:t>
      </w:r>
    </w:p>
    <w:p w14:paraId="3EC18800" w14:textId="740E01EF" w:rsidR="007C02CE" w:rsidRDefault="007C02CE" w:rsidP="007C02CE">
      <w:r>
        <w:t>El período de 4 a 8 semanas captura entre 2 y 3 ciclos completos de reproducción del Aedes aegypti (ciclo gonotrófico: 7–10 días) y la incubación extrínseca del virus dengue en el mosquito (~8–12 días), permitiendo detectar el momento en que las condiciones climáticas favorables se traducen en aumento de casos. Predecir antes de que la curva suba requiere exactamente esta ventana.</w:t>
      </w:r>
    </w:p>
    <w:p w14:paraId="6CF0B24A" w14:textId="77777777" w:rsidR="007C02CE" w:rsidRDefault="007C02CE" w:rsidP="007C02CE"/>
    <w:p w14:paraId="112754BD" w14:textId="2CEA95C0" w:rsidR="007C02CE" w:rsidRDefault="007C02CE" w:rsidP="007C02CE">
      <w:r>
        <w:t>Fuentes de soporte</w:t>
      </w:r>
    </w:p>
    <w:p w14:paraId="45B5F668" w14:textId="70BAD5B6" w:rsidR="007C02CE" w:rsidRDefault="007C02CE" w:rsidP="007C02CE">
      <w:r>
        <w:t>Bhatt, S., Gething, P. W., Brady, O. J., Messina, J. P., Farlow, A. W., Moyes, C. L., ... &amp; Hay, S. I. (2013). The global distribution and burden of dengue. Nature, 496(7446), 504–507. https://doi.org/10.1038/nature12060</w:t>
      </w:r>
    </w:p>
    <w:p w14:paraId="4CA40E0E" w14:textId="4CBC0D58" w:rsidR="007C02CE" w:rsidRDefault="007C02CE" w:rsidP="007C02CE">
      <w:r>
        <w:t>→ Aporte: Establece la estacionalidad del dengue ligada a temperatura y precipitación, fundamento para el uso de variables climáticas como predictores con 4–8 semanas de rezago.</w:t>
      </w:r>
    </w:p>
    <w:p w14:paraId="1C1BEF82" w14:textId="77777777" w:rsidR="007C02CE" w:rsidRDefault="007C02CE" w:rsidP="007C02CE"/>
    <w:p w14:paraId="40A095F5" w14:textId="4E5F803E" w:rsidR="007C02CE" w:rsidRDefault="007C02CE" w:rsidP="007C02CE">
      <w:r>
        <w:t>Johansson, M. A., Apfeldorf, K. M., Dobson, S., Devita, J., Buczak, A. L., Baugher, B., ... &amp; Moran, K. R. (2019). An open challenge to advance probabilistic forecasting for dengue epidemics. Proceedings of the National Academy of Sciences, 116(48), 24268–24274. https://doi.org/10.1073/pnas.1909865116</w:t>
      </w:r>
    </w:p>
    <w:p w14:paraId="4940AFB2" w14:textId="51A10AF7" w:rsidR="007C02CE" w:rsidRDefault="007C02CE" w:rsidP="007C02CE">
      <w:r>
        <w:t>→ Aporte: Evalúa modelos de pronóstico de dengue a diferentes horizontes; concluye que el horizonte de 4–8 semanas maximiza la utilidad operativa sin sacrificar precisión estadística.</w:t>
      </w:r>
    </w:p>
    <w:p w14:paraId="5808915F" w14:textId="77777777" w:rsidR="007C02CE" w:rsidRDefault="007C02CE" w:rsidP="007C02CE"/>
    <w:p w14:paraId="18D9D26F" w14:textId="776A9994" w:rsidR="007C02CE" w:rsidRDefault="007C02CE" w:rsidP="007C02CE">
      <w:r>
        <w:t>3. Por qué no menos de 4 semanas</w:t>
      </w:r>
    </w:p>
    <w:p w14:paraId="4AA508FB" w14:textId="64ECD653" w:rsidR="007C02CE" w:rsidRDefault="007C02CE" w:rsidP="007C02CE">
      <w:r>
        <w:t>Un horizonte de 1–3 semanas es insuficiente para que las autoridades de salud activen los protocolos de control vectorial (cadenas de suministro, autorización presupuestal, despliegue de personal). La respuesta sería necesariamente reactiva, no preventiva.</w:t>
      </w:r>
    </w:p>
    <w:p w14:paraId="777ABDD0" w14:textId="77777777" w:rsidR="007C02CE" w:rsidRDefault="007C02CE" w:rsidP="007C02CE"/>
    <w:p w14:paraId="752C5B3A" w14:textId="41B4BF00" w:rsidR="007C02CE" w:rsidRDefault="007C02CE" w:rsidP="007C02CE">
      <w:r>
        <w:t>Fuente de soporte</w:t>
      </w:r>
    </w:p>
    <w:p w14:paraId="5E45E96F" w14:textId="4FEBC4FA" w:rsidR="007C02CE" w:rsidRDefault="007C02CE" w:rsidP="007C02CE">
      <w:r>
        <w:t>Reich, N. G., Brooks, L. C., Fox, S. J., Kandula, S., McGowan, C. J., Moore, E., ... &amp; Shaman, J. (2019). A collaborative multiyear, multimodel assessment of seasonal influenza forecasting in the United States. Proceedings of the National Academy of Sciences, 116(8), 3146–3154.</w:t>
      </w:r>
    </w:p>
    <w:p w14:paraId="037C7246" w14:textId="583891C3" w:rsidR="007C02CE" w:rsidRDefault="007C02CE" w:rsidP="007C02CE">
      <w:r>
        <w:t>→ Aporte: Referente metodológico para pronósticos de enfermedades infecciosas; demuestra que horizontes cortos (≤2 semanas) ofrecen ventajas estadísticas pero no operativas.</w:t>
      </w:r>
    </w:p>
    <w:p w14:paraId="722CFE5E" w14:textId="77777777" w:rsidR="007C02CE" w:rsidRDefault="007C02CE" w:rsidP="007C02CE"/>
    <w:p w14:paraId="55377B3C" w14:textId="4C7F9AF1" w:rsidR="007C02CE" w:rsidRDefault="007C02CE" w:rsidP="007C02CE">
      <w:r>
        <w:t>4. Por qué no más de 8–12 semanas</w:t>
      </w:r>
    </w:p>
    <w:p w14:paraId="6B82B239" w14:textId="55C0CBD8" w:rsidR="007C02CE" w:rsidRDefault="007C02CE" w:rsidP="007C02CE">
      <w:r>
        <w:t>La acumulación de incertidumbre en variables climáticas (precipitación, temperatura) a más de 2 meses hace que los intervalos de confianza del modelo se vuelvan demasiado amplios para orientar decisiones específicas por municipio. Adicionalmente, la dinámica epidémica puede cambiar por razones exógenas (campañas de vacunación, eventos climáticos extremos) que el modelo no puede anticipar.</w:t>
      </w:r>
    </w:p>
    <w:p w14:paraId="519871E9" w14:textId="77777777" w:rsidR="007C02CE" w:rsidRDefault="007C02CE" w:rsidP="007C02CE"/>
    <w:p w14:paraId="007B1385" w14:textId="0CA89203" w:rsidR="007C02CE" w:rsidRDefault="007C02CE" w:rsidP="007C02CE">
      <w:r>
        <w:t>Fuente de soporte</w:t>
      </w:r>
    </w:p>
    <w:p w14:paraId="356FBF51" w14:textId="1A543219" w:rsidR="007C02CE" w:rsidRDefault="007C02CE" w:rsidP="007C02CE">
      <w:r>
        <w:t>Lowe, R., Bailey, T. C., Stephenson, D. B., Graham, R. J., Coelho, C. A., Carvalho, M. S., &amp; Barcellos, C. (2011). Spatio-temporal modelling of climate-sensitive disease risk: Towards an early warning system for dengue in Brazil. Computers &amp; Geosciences, 37(3), 371–381. https://doi.org/10.1016/j.cageo.2010.01.008</w:t>
      </w:r>
    </w:p>
    <w:p w14:paraId="07A7A21C" w14:textId="4502D30E" w:rsidR="007C02CE" w:rsidRDefault="007C02CE" w:rsidP="007C02CE">
      <w:r>
        <w:t>→ Aporte: Demuestra empíricamente que los modelos espacio-temporales de dengue con variables climáticas tienen mejor desempeño predictivo en horizontes de 4–8 semanas.</w:t>
      </w:r>
    </w:p>
    <w:p w14:paraId="5891B5E4" w14:textId="77777777" w:rsidR="007C02CE" w:rsidRDefault="007C02CE" w:rsidP="007C02CE"/>
    <w:p w14:paraId="1F2873CB" w14:textId="6DEEFA73" w:rsidR="007C02CE" w:rsidRDefault="007C02CE" w:rsidP="007C02CE">
      <w:r>
        <w:t>5. Contexto local — Colombia</w:t>
      </w:r>
    </w:p>
    <w:p w14:paraId="362A131C" w14:textId="384257DD" w:rsidR="007C02CE" w:rsidRDefault="007C02CE" w:rsidP="007C02CE">
      <w:r>
        <w:t>En el contexto del INS/SIVIGILA, el sistema de canal endémico nacional ya opera con ventanas de alerta de 4–8 semanas para enfermedades de notificación obligatoria. El horizonte propuesto es coherente con la infraestructura de vigilancia epidemiológica ya existente en Colombia.</w:t>
      </w:r>
    </w:p>
    <w:p w14:paraId="5AB57D84" w14:textId="77777777" w:rsidR="007C02CE" w:rsidRDefault="007C02CE" w:rsidP="007C02CE"/>
    <w:p w14:paraId="465503B0" w14:textId="467B3EF2" w:rsidR="007C02CE" w:rsidRDefault="007C02CE" w:rsidP="007C02CE">
      <w:r>
        <w:t>Instituto Nacional de Salud (INS). (2023). Protocolo de vigilancia en salud pública — Dengue. Colombia: Ministerio de Salud y Protección Social.</w:t>
      </w:r>
    </w:p>
    <w:p w14:paraId="594C7224" w14:textId="64C3B73A" w:rsidR="007C02CE" w:rsidRDefault="007C02CE" w:rsidP="007C02CE">
      <w:r>
        <w:t>→ Disponible en: https://www.ins.gov.co/buscador-eventos/Lineamientos/PRO%20Dengue.pdf</w:t>
      </w:r>
    </w:p>
    <w:p w14:paraId="4DBF79B7" w14:textId="77777777" w:rsidR="007C02CE" w:rsidRDefault="007C02CE" w:rsidP="007C02CE"/>
    <w:sectPr w:rsidR="007C02C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CE"/>
    <w:rsid w:val="00047C36"/>
    <w:rsid w:val="00125E39"/>
    <w:rsid w:val="002147A8"/>
    <w:rsid w:val="00593DBB"/>
    <w:rsid w:val="007C0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1177"/>
  <w15:chartTrackingRefBased/>
  <w15:docId w15:val="{FCF92B86-CBB1-4C9B-A3B5-5EFDD05D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2CE"/>
    <w:rPr>
      <w:rFonts w:eastAsiaTheme="majorEastAsia" w:cstheme="majorBidi"/>
      <w:color w:val="272727" w:themeColor="text1" w:themeTint="D8"/>
    </w:rPr>
  </w:style>
  <w:style w:type="paragraph" w:styleId="Title">
    <w:name w:val="Title"/>
    <w:basedOn w:val="Normal"/>
    <w:next w:val="Normal"/>
    <w:link w:val="TitleChar"/>
    <w:uiPriority w:val="10"/>
    <w:qFormat/>
    <w:rsid w:val="007C0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2CE"/>
    <w:pPr>
      <w:spacing w:before="160"/>
      <w:jc w:val="center"/>
    </w:pPr>
    <w:rPr>
      <w:i/>
      <w:iCs/>
      <w:color w:val="404040" w:themeColor="text1" w:themeTint="BF"/>
    </w:rPr>
  </w:style>
  <w:style w:type="character" w:customStyle="1" w:styleId="QuoteChar">
    <w:name w:val="Quote Char"/>
    <w:basedOn w:val="DefaultParagraphFont"/>
    <w:link w:val="Quote"/>
    <w:uiPriority w:val="29"/>
    <w:rsid w:val="007C02CE"/>
    <w:rPr>
      <w:i/>
      <w:iCs/>
      <w:color w:val="404040" w:themeColor="text1" w:themeTint="BF"/>
    </w:rPr>
  </w:style>
  <w:style w:type="paragraph" w:styleId="ListParagraph">
    <w:name w:val="List Paragraph"/>
    <w:basedOn w:val="Normal"/>
    <w:uiPriority w:val="34"/>
    <w:qFormat/>
    <w:rsid w:val="007C02CE"/>
    <w:pPr>
      <w:ind w:left="720"/>
      <w:contextualSpacing/>
    </w:pPr>
  </w:style>
  <w:style w:type="character" w:styleId="IntenseEmphasis">
    <w:name w:val="Intense Emphasis"/>
    <w:basedOn w:val="DefaultParagraphFont"/>
    <w:uiPriority w:val="21"/>
    <w:qFormat/>
    <w:rsid w:val="007C02CE"/>
    <w:rPr>
      <w:i/>
      <w:iCs/>
      <w:color w:val="0F4761" w:themeColor="accent1" w:themeShade="BF"/>
    </w:rPr>
  </w:style>
  <w:style w:type="paragraph" w:styleId="IntenseQuote">
    <w:name w:val="Intense Quote"/>
    <w:basedOn w:val="Normal"/>
    <w:next w:val="Normal"/>
    <w:link w:val="IntenseQuoteChar"/>
    <w:uiPriority w:val="30"/>
    <w:qFormat/>
    <w:rsid w:val="007C0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2CE"/>
    <w:rPr>
      <w:i/>
      <w:iCs/>
      <w:color w:val="0F4761" w:themeColor="accent1" w:themeShade="BF"/>
    </w:rPr>
  </w:style>
  <w:style w:type="character" w:styleId="IntenseReference">
    <w:name w:val="Intense Reference"/>
    <w:basedOn w:val="DefaultParagraphFont"/>
    <w:uiPriority w:val="32"/>
    <w:qFormat/>
    <w:rsid w:val="007C0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Nicolas</dc:creator>
  <cp:keywords/>
  <dc:description/>
  <cp:lastModifiedBy>Lara, Nicolas</cp:lastModifiedBy>
  <cp:revision>1</cp:revision>
  <dcterms:created xsi:type="dcterms:W3CDTF">2026-08-17T23:25:00Z</dcterms:created>
  <dcterms:modified xsi:type="dcterms:W3CDTF">2026-08-17T23:25:00Z</dcterms:modified>
</cp:coreProperties>
</file>