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Exploracion de Datos — Temperatura Superficial LST MODIS (GEE)</w:t>
      </w:r>
    </w:p>
    <w:p>
      <w:pPr>
        <w:spacing w:after="120"/>
      </w:pPr>
      <w:r>
        <w:t>Sistema de Alerta Temprana de Dengue · Grupo 11 · MAIA PDS · Universidad de los Andes</w:t>
      </w:r>
    </w:p>
    <w:p>
      <w:pPr>
        <w:spacing w:after="120"/>
      </w:pPr>
      <w:r>
        <w:t>Fuente: Google Earth Engine (MODIS Land Surface Temperature) · Periodo: 2007–2024 · Granularidad: diaria por municipio</w:t>
      </w:r>
    </w:p>
    <w:p/>
    <w:p>
      <w:pPr>
        <w:pStyle w:val="Heading2"/>
        <w:jc w:val="left"/>
      </w:pPr>
      <w:r>
        <w:t>1. Resumen general</w:t>
      </w:r>
    </w:p>
    <w:tbl>
      <w:tblPr>
        <w:tblStyle w:val="TableGrid"/>
        <w:tblW w:type="auto" w:w="0"/>
        <w:tblLook w:firstColumn="1" w:firstRow="1" w:lastColumn="0" w:lastRow="0" w:noHBand="0" w:noVBand="1" w:val="04A0"/>
      </w:tblPr>
      <w:tblGrid>
        <w:gridCol w:w="4392"/>
        <w:gridCol w:w="4392"/>
      </w:tblGrid>
      <w:tr>
        <w:tc>
          <w:tcPr>
            <w:tcW w:type="dxa" w:w="4392"/>
            <w:shd w:val="clear" w:color="auto" w:fill="0E1E3C"/>
          </w:tcPr>
          <w:p>
            <w:r>
              <w:rPr>
                <w:b/>
                <w:color w:val="FFFFFF"/>
              </w:rPr>
              <w:t>Parametro</w:t>
            </w:r>
          </w:p>
        </w:tc>
        <w:tc>
          <w:tcPr>
            <w:tcW w:type="dxa" w:w="4392"/>
            <w:shd w:val="clear" w:color="auto" w:fill="0E1E3C"/>
          </w:tcPr>
          <w:p>
            <w:r>
              <w:rPr>
                <w:b/>
                <w:color w:val="FFFFFF"/>
              </w:rPr>
              <w:t>Valor</w:t>
            </w:r>
          </w:p>
        </w:tc>
      </w:tr>
      <w:tr>
        <w:tc>
          <w:tcPr>
            <w:tcW w:type="dxa" w:w="4392"/>
          </w:tcPr>
          <w:p>
            <w:r>
              <w:t>Total filas</w:t>
            </w:r>
          </w:p>
        </w:tc>
        <w:tc>
          <w:tcPr>
            <w:tcW w:type="dxa" w:w="4392"/>
          </w:tcPr>
          <w:p>
            <w:r>
              <w:t>7,140,450</w:t>
            </w:r>
          </w:p>
        </w:tc>
      </w:tr>
      <w:tr>
        <w:tc>
          <w:tcPr>
            <w:tcW w:type="dxa" w:w="4392"/>
          </w:tcPr>
          <w:p>
            <w:r>
              <w:t>Filas con datos validos</w:t>
            </w:r>
          </w:p>
        </w:tc>
        <w:tc>
          <w:tcPr>
            <w:tcW w:type="dxa" w:w="4392"/>
          </w:tcPr>
          <w:p>
            <w:r>
              <w:t>2,874,442 (40.3%)</w:t>
            </w:r>
          </w:p>
        </w:tc>
      </w:tr>
      <w:tr>
        <w:tc>
          <w:tcPr>
            <w:tcW w:type="dxa" w:w="4392"/>
          </w:tcPr>
          <w:p>
            <w:r>
              <w:t>Municipios</w:t>
            </w:r>
          </w:p>
        </w:tc>
        <w:tc>
          <w:tcPr>
            <w:tcW w:type="dxa" w:w="4392"/>
          </w:tcPr>
          <w:p>
            <w:r>
              <w:t>1,086</w:t>
            </w:r>
          </w:p>
        </w:tc>
      </w:tr>
      <w:tr>
        <w:tc>
          <w:tcPr>
            <w:tcW w:type="dxa" w:w="4392"/>
          </w:tcPr>
          <w:p>
            <w:r>
              <w:t>Departamentos</w:t>
            </w:r>
          </w:p>
        </w:tc>
        <w:tc>
          <w:tcPr>
            <w:tcW w:type="dxa" w:w="4392"/>
          </w:tcPr>
          <w:p>
            <w:r>
              <w:t>33</w:t>
            </w:r>
          </w:p>
        </w:tc>
      </w:tr>
      <w:tr>
        <w:tc>
          <w:tcPr>
            <w:tcW w:type="dxa" w:w="4392"/>
          </w:tcPr>
          <w:p>
            <w:r>
              <w:t>Granularidad</w:t>
            </w:r>
          </w:p>
        </w:tc>
        <w:tc>
          <w:tcPr>
            <w:tcW w:type="dxa" w:w="4392"/>
          </w:tcPr>
          <w:p>
            <w:r>
              <w:t>Diaria (un registro por municipio por dia)</w:t>
            </w:r>
          </w:p>
        </w:tc>
      </w:tr>
      <w:tr>
        <w:tc>
          <w:tcPr>
            <w:tcW w:type="dxa" w:w="4392"/>
          </w:tcPr>
          <w:p>
            <w:r>
              <w:t>Periodo</w:t>
            </w:r>
          </w:p>
        </w:tc>
        <w:tc>
          <w:tcPr>
            <w:tcW w:type="dxa" w:w="4392"/>
          </w:tcPr>
          <w:p>
            <w:r>
              <w:t>2007–2024 (18 anos)</w:t>
            </w:r>
          </w:p>
        </w:tc>
      </w:tr>
      <w:tr>
        <w:tc>
          <w:tcPr>
            <w:tcW w:type="dxa" w:w="4392"/>
          </w:tcPr>
          <w:p>
            <w:r>
              <w:t>Variable principal</w:t>
            </w:r>
          </w:p>
        </w:tc>
        <w:tc>
          <w:tcPr>
            <w:tcW w:type="dxa" w:w="4392"/>
          </w:tcPr>
          <w:p>
            <w:r>
              <w:t>lst_celsius — temperatura superficial del suelo (C)</w:t>
            </w:r>
          </w:p>
        </w:tc>
      </w:tr>
      <w:tr>
        <w:tc>
          <w:tcPr>
            <w:tcW w:type="dxa" w:w="4392"/>
          </w:tcPr>
          <w:p>
            <w:r>
              <w:t>Factor de escala MODIS</w:t>
            </w:r>
          </w:p>
        </w:tc>
        <w:tc>
          <w:tcPr>
            <w:tcW w:type="dxa" w:w="4392"/>
          </w:tcPr>
          <w:p>
            <w:r>
              <w:t>mean_raw x 0.02 - 273.15 = Celsius</w:t>
            </w:r>
          </w:p>
        </w:tc>
      </w:tr>
      <w:tr>
        <w:tc>
          <w:tcPr>
            <w:tcW w:type="dxa" w:w="4392"/>
          </w:tcPr>
          <w:p>
            <w:r>
              <w:t>Nulos promedio (nubosidad)</w:t>
            </w:r>
          </w:p>
        </w:tc>
        <w:tc>
          <w:tcPr>
            <w:tcW w:type="dxa" w:w="4392"/>
          </w:tcPr>
          <w:p>
            <w:r>
              <w:t>59.7%</w:t>
            </w:r>
          </w:p>
        </w:tc>
      </w:tr>
      <w:tr>
        <w:tc>
          <w:tcPr>
            <w:tcW w:type="dxa" w:w="4392"/>
          </w:tcPr>
          <w:p>
            <w:r>
              <w:t>LST media Colombia</w:t>
            </w:r>
          </w:p>
        </w:tc>
        <w:tc>
          <w:tcPr>
            <w:tcW w:type="dxa" w:w="4392"/>
          </w:tcPr>
          <w:p>
            <w:r>
              <w:t>25.17 C</w:t>
            </w:r>
          </w:p>
        </w:tc>
      </w:tr>
      <w:tr>
        <w:tc>
          <w:tcPr>
            <w:tcW w:type="dxa" w:w="4392"/>
          </w:tcPr>
          <w:p>
            <w:r>
              <w:t>LST minima</w:t>
            </w:r>
          </w:p>
        </w:tc>
        <w:tc>
          <w:tcPr>
            <w:tcW w:type="dxa" w:w="4392"/>
          </w:tcPr>
          <w:p>
            <w:r>
              <w:t>-37.33 C</w:t>
            </w:r>
          </w:p>
        </w:tc>
      </w:tr>
      <w:tr>
        <w:tc>
          <w:tcPr>
            <w:tcW w:type="dxa" w:w="4392"/>
          </w:tcPr>
          <w:p>
            <w:r>
              <w:t>LST maxima</w:t>
            </w:r>
          </w:p>
        </w:tc>
        <w:tc>
          <w:tcPr>
            <w:tcW w:type="dxa" w:w="4392"/>
          </w:tcPr>
          <w:p>
            <w:r>
              <w:t>51.62 C</w:t>
            </w:r>
          </w:p>
        </w:tc>
      </w:tr>
    </w:tbl>
    <w:p/>
    <w:p>
      <w:pPr>
        <w:spacing w:after="120"/>
      </w:pPr>
      <w:r>
        <w:t>Los datos provienen del producto MODIS LST (MOD11A1) procesado en Google Earth Engine. Cada fila representa la temperatura media diaria de la superficie del suelo para un municipio colombiano. El alto porcentaje de nulos (59.7%) es inherente al sensor — la cobertura nubosa impide la lectura infrarroja, especialmente en la region Andina y el Pacifico. Los valores extremos negativos (-37°C) corresponden a areas de alta montana (picos nevados) y son fisicamente plausibles para superficies glaciares.</w:t>
      </w:r>
    </w:p>
    <w:p>
      <w:pPr>
        <w:pStyle w:val="Heading2"/>
        <w:jc w:val="left"/>
      </w:pPr>
      <w:r>
        <w:t>2. Datos faltantes por ano (nubosidad)</w:t>
      </w:r>
    </w:p>
    <w:p>
      <w:pPr>
        <w:spacing w:after="120"/>
      </w:pPr>
      <w:r>
        <w:t>La tasa de nulos es estable entre 57.5% y 63.4% a lo largo del periodo. 2010 presenta el mayor porcentaje (63.4%), consistente con el fenomeno El Nino de ese ano que incremento la nubosidad en varias regiones. 2018 tiene la menor tasa de nulos (57.5%), indicando mejores condiciones de cielo despejado.</w:t>
      </w:r>
    </w:p>
    <w:p>
      <w:r>
        <w:drawing>
          <wp:inline xmlns:a="http://schemas.openxmlformats.org/drawingml/2006/main" xmlns:pic="http://schemas.openxmlformats.org/drawingml/2006/picture">
            <wp:extent cx="5303520" cy="1631852"/>
            <wp:docPr id="1" name="Picture 1"/>
            <wp:cNvGraphicFramePr>
              <a:graphicFrameLocks noChangeAspect="1"/>
            </wp:cNvGraphicFramePr>
            <a:graphic>
              <a:graphicData uri="http://schemas.openxmlformats.org/drawingml/2006/picture">
                <pic:pic>
                  <pic:nvPicPr>
                    <pic:cNvPr id="0" name="06_gee_nulos_por_ano.png"/>
                    <pic:cNvPicPr/>
                  </pic:nvPicPr>
                  <pic:blipFill>
                    <a:blip r:embed="rId9"/>
                    <a:stretch>
                      <a:fillRect/>
                    </a:stretch>
                  </pic:blipFill>
                  <pic:spPr>
                    <a:xfrm>
                      <a:off x="0" y="0"/>
                      <a:ext cx="5303520" cy="1631852"/>
                    </a:xfrm>
                    <a:prstGeom prst="rect"/>
                  </pic:spPr>
                </pic:pic>
              </a:graphicData>
            </a:graphic>
          </wp:inline>
        </w:drawing>
      </w:r>
    </w:p>
    <w:p>
      <w:pPr>
        <w:jc w:val="center"/>
      </w:pPr>
      <w:r>
        <w:rPr>
          <w:i/>
          <w:color w:val="5C6B84"/>
          <w:sz w:val="18"/>
        </w:rPr>
        <w:t>Figura 6. Porcentaje de datos faltantes por ano. La nubosidad es la principal causa de nulos en MODIS LST.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E1E3C"/>
          </w:tcPr>
          <w:p>
            <w:r>
              <w:rPr>
                <w:b/>
                <w:color w:val="FFFFFF"/>
              </w:rPr>
              <w:t>Año</w:t>
            </w:r>
          </w:p>
        </w:tc>
        <w:tc>
          <w:tcPr>
            <w:tcW w:type="dxa" w:w="2928"/>
            <w:shd w:val="clear" w:color="auto" w:fill="0E1E3C"/>
          </w:tcPr>
          <w:p>
            <w:r>
              <w:rPr>
                <w:b/>
                <w:color w:val="FFFFFF"/>
              </w:rPr>
              <w:t>Nulos (%)</w:t>
            </w:r>
          </w:p>
        </w:tc>
        <w:tc>
          <w:tcPr>
            <w:tcW w:type="dxa" w:w="2928"/>
            <w:shd w:val="clear" w:color="auto" w:fill="0E1E3C"/>
          </w:tcPr>
          <w:p>
            <w:r>
              <w:rPr>
                <w:b/>
                <w:color w:val="FFFFFF"/>
              </w:rPr>
              <w:t>LST media (C)</w:t>
            </w:r>
          </w:p>
        </w:tc>
      </w:tr>
      <w:tr>
        <w:tc>
          <w:tcPr>
            <w:tcW w:type="dxa" w:w="2928"/>
          </w:tcPr>
          <w:p>
            <w:r>
              <w:t>2007</w:t>
            </w:r>
          </w:p>
        </w:tc>
        <w:tc>
          <w:tcPr>
            <w:tcW w:type="dxa" w:w="2928"/>
          </w:tcPr>
          <w:p>
            <w:r>
              <w:t>58.2%</w:t>
            </w:r>
          </w:p>
        </w:tc>
        <w:tc>
          <w:tcPr>
            <w:tcW w:type="dxa" w:w="2928"/>
          </w:tcPr>
          <w:p>
            <w:r>
              <w:t>25.24</w:t>
            </w:r>
          </w:p>
        </w:tc>
      </w:tr>
      <w:tr>
        <w:tc>
          <w:tcPr>
            <w:tcW w:type="dxa" w:w="2928"/>
          </w:tcPr>
          <w:p>
            <w:r>
              <w:t>2008</w:t>
            </w:r>
          </w:p>
        </w:tc>
        <w:tc>
          <w:tcPr>
            <w:tcW w:type="dxa" w:w="2928"/>
          </w:tcPr>
          <w:p>
            <w:r>
              <w:t>62.0%</w:t>
            </w:r>
          </w:p>
        </w:tc>
        <w:tc>
          <w:tcPr>
            <w:tcW w:type="dxa" w:w="2928"/>
          </w:tcPr>
          <w:p>
            <w:r>
              <w:t>24.66</w:t>
            </w:r>
          </w:p>
        </w:tc>
      </w:tr>
      <w:tr>
        <w:tc>
          <w:tcPr>
            <w:tcW w:type="dxa" w:w="2928"/>
          </w:tcPr>
          <w:p>
            <w:r>
              <w:t>2009</w:t>
            </w:r>
          </w:p>
        </w:tc>
        <w:tc>
          <w:tcPr>
            <w:tcW w:type="dxa" w:w="2928"/>
          </w:tcPr>
          <w:p>
            <w:r>
              <w:t>58.6%</w:t>
            </w:r>
          </w:p>
        </w:tc>
        <w:tc>
          <w:tcPr>
            <w:tcW w:type="dxa" w:w="2928"/>
          </w:tcPr>
          <w:p>
            <w:r>
              <w:t>25.44</w:t>
            </w:r>
          </w:p>
        </w:tc>
      </w:tr>
      <w:tr>
        <w:tc>
          <w:tcPr>
            <w:tcW w:type="dxa" w:w="2928"/>
          </w:tcPr>
          <w:p>
            <w:r>
              <w:t>2010</w:t>
            </w:r>
          </w:p>
        </w:tc>
        <w:tc>
          <w:tcPr>
            <w:tcW w:type="dxa" w:w="2928"/>
          </w:tcPr>
          <w:p>
            <w:r>
              <w:t>63.4%</w:t>
            </w:r>
          </w:p>
        </w:tc>
        <w:tc>
          <w:tcPr>
            <w:tcW w:type="dxa" w:w="2928"/>
          </w:tcPr>
          <w:p>
            <w:r>
              <w:t>25.27</w:t>
            </w:r>
          </w:p>
        </w:tc>
      </w:tr>
      <w:tr>
        <w:tc>
          <w:tcPr>
            <w:tcW w:type="dxa" w:w="2928"/>
          </w:tcPr>
          <w:p>
            <w:r>
              <w:t>2011</w:t>
            </w:r>
          </w:p>
        </w:tc>
        <w:tc>
          <w:tcPr>
            <w:tcW w:type="dxa" w:w="2928"/>
          </w:tcPr>
          <w:p>
            <w:r>
              <w:t>61.9%</w:t>
            </w:r>
          </w:p>
        </w:tc>
        <w:tc>
          <w:tcPr>
            <w:tcW w:type="dxa" w:w="2928"/>
          </w:tcPr>
          <w:p>
            <w:r>
              <w:t>24.30</w:t>
            </w:r>
          </w:p>
        </w:tc>
      </w:tr>
      <w:tr>
        <w:tc>
          <w:tcPr>
            <w:tcW w:type="dxa" w:w="2928"/>
          </w:tcPr>
          <w:p>
            <w:r>
              <w:t>2012</w:t>
            </w:r>
          </w:p>
        </w:tc>
        <w:tc>
          <w:tcPr>
            <w:tcW w:type="dxa" w:w="2928"/>
          </w:tcPr>
          <w:p>
            <w:r>
              <w:t>59.4%</w:t>
            </w:r>
          </w:p>
        </w:tc>
        <w:tc>
          <w:tcPr>
            <w:tcW w:type="dxa" w:w="2928"/>
          </w:tcPr>
          <w:p>
            <w:r>
              <w:t>25.22</w:t>
            </w:r>
          </w:p>
        </w:tc>
      </w:tr>
      <w:tr>
        <w:tc>
          <w:tcPr>
            <w:tcW w:type="dxa" w:w="2928"/>
          </w:tcPr>
          <w:p>
            <w:r>
              <w:t>2013</w:t>
            </w:r>
          </w:p>
        </w:tc>
        <w:tc>
          <w:tcPr>
            <w:tcW w:type="dxa" w:w="2928"/>
          </w:tcPr>
          <w:p>
            <w:r>
              <w:t>59.6%</w:t>
            </w:r>
          </w:p>
        </w:tc>
        <w:tc>
          <w:tcPr>
            <w:tcW w:type="dxa" w:w="2928"/>
          </w:tcPr>
          <w:p>
            <w:r>
              <w:t>25.44</w:t>
            </w:r>
          </w:p>
        </w:tc>
      </w:tr>
      <w:tr>
        <w:tc>
          <w:tcPr>
            <w:tcW w:type="dxa" w:w="2928"/>
          </w:tcPr>
          <w:p>
            <w:r>
              <w:t>2014</w:t>
            </w:r>
          </w:p>
        </w:tc>
        <w:tc>
          <w:tcPr>
            <w:tcW w:type="dxa" w:w="2928"/>
          </w:tcPr>
          <w:p>
            <w:r>
              <w:t>59.7%</w:t>
            </w:r>
          </w:p>
        </w:tc>
        <w:tc>
          <w:tcPr>
            <w:tcW w:type="dxa" w:w="2928"/>
          </w:tcPr>
          <w:p>
            <w:r>
              <w:t>25.55</w:t>
            </w:r>
          </w:p>
        </w:tc>
      </w:tr>
      <w:tr>
        <w:tc>
          <w:tcPr>
            <w:tcW w:type="dxa" w:w="2928"/>
          </w:tcPr>
          <w:p>
            <w:r>
              <w:t>2015</w:t>
            </w:r>
          </w:p>
        </w:tc>
        <w:tc>
          <w:tcPr>
            <w:tcW w:type="dxa" w:w="2928"/>
          </w:tcPr>
          <w:p>
            <w:r>
              <w:t>58.3%</w:t>
            </w:r>
          </w:p>
        </w:tc>
        <w:tc>
          <w:tcPr>
            <w:tcW w:type="dxa" w:w="2928"/>
          </w:tcPr>
          <w:p>
            <w:r>
              <w:t>26.48</w:t>
            </w:r>
          </w:p>
        </w:tc>
      </w:tr>
      <w:tr>
        <w:tc>
          <w:tcPr>
            <w:tcW w:type="dxa" w:w="2928"/>
          </w:tcPr>
          <w:p>
            <w:r>
              <w:t>2016</w:t>
            </w:r>
          </w:p>
        </w:tc>
        <w:tc>
          <w:tcPr>
            <w:tcW w:type="dxa" w:w="2928"/>
          </w:tcPr>
          <w:p>
            <w:r>
              <w:t>60.5%</w:t>
            </w:r>
          </w:p>
        </w:tc>
        <w:tc>
          <w:tcPr>
            <w:tcW w:type="dxa" w:w="2928"/>
          </w:tcPr>
          <w:p>
            <w:r>
              <w:t>25.94</w:t>
            </w:r>
          </w:p>
        </w:tc>
      </w:tr>
      <w:tr>
        <w:tc>
          <w:tcPr>
            <w:tcW w:type="dxa" w:w="2928"/>
          </w:tcPr>
          <w:p>
            <w:r>
              <w:t>2017</w:t>
            </w:r>
          </w:p>
        </w:tc>
        <w:tc>
          <w:tcPr>
            <w:tcW w:type="dxa" w:w="2928"/>
          </w:tcPr>
          <w:p>
            <w:r>
              <w:t>58.2%</w:t>
            </w:r>
          </w:p>
        </w:tc>
        <w:tc>
          <w:tcPr>
            <w:tcW w:type="dxa" w:w="2928"/>
          </w:tcPr>
          <w:p>
            <w:r>
              <w:t>25.01</w:t>
            </w:r>
          </w:p>
        </w:tc>
      </w:tr>
      <w:tr>
        <w:tc>
          <w:tcPr>
            <w:tcW w:type="dxa" w:w="2928"/>
          </w:tcPr>
          <w:p>
            <w:r>
              <w:t>2018</w:t>
            </w:r>
          </w:p>
        </w:tc>
        <w:tc>
          <w:tcPr>
            <w:tcW w:type="dxa" w:w="2928"/>
          </w:tcPr>
          <w:p>
            <w:r>
              <w:t>57.5%</w:t>
            </w:r>
          </w:p>
        </w:tc>
        <w:tc>
          <w:tcPr>
            <w:tcW w:type="dxa" w:w="2928"/>
          </w:tcPr>
          <w:p>
            <w:r>
              <w:t>25.25</w:t>
            </w:r>
          </w:p>
        </w:tc>
      </w:tr>
      <w:tr>
        <w:tc>
          <w:tcPr>
            <w:tcW w:type="dxa" w:w="2928"/>
          </w:tcPr>
          <w:p>
            <w:r>
              <w:t>2019</w:t>
            </w:r>
          </w:p>
        </w:tc>
        <w:tc>
          <w:tcPr>
            <w:tcW w:type="dxa" w:w="2928"/>
          </w:tcPr>
          <w:p>
            <w:r>
              <w:t>60.8%</w:t>
            </w:r>
          </w:p>
        </w:tc>
        <w:tc>
          <w:tcPr>
            <w:tcW w:type="dxa" w:w="2928"/>
          </w:tcPr>
          <w:p>
            <w:r>
              <w:t>25.61</w:t>
            </w:r>
          </w:p>
        </w:tc>
      </w:tr>
      <w:tr>
        <w:tc>
          <w:tcPr>
            <w:tcW w:type="dxa" w:w="2928"/>
          </w:tcPr>
          <w:p>
            <w:r>
              <w:t>2020</w:t>
            </w:r>
          </w:p>
        </w:tc>
        <w:tc>
          <w:tcPr>
            <w:tcW w:type="dxa" w:w="2928"/>
          </w:tcPr>
          <w:p>
            <w:r>
              <w:t>57.6%</w:t>
            </w:r>
          </w:p>
        </w:tc>
        <w:tc>
          <w:tcPr>
            <w:tcW w:type="dxa" w:w="2928"/>
          </w:tcPr>
          <w:p>
            <w:r>
              <w:t>25.58</w:t>
            </w:r>
          </w:p>
        </w:tc>
      </w:tr>
      <w:tr>
        <w:tc>
          <w:tcPr>
            <w:tcW w:type="dxa" w:w="2928"/>
          </w:tcPr>
          <w:p>
            <w:r>
              <w:t>2021</w:t>
            </w:r>
          </w:p>
        </w:tc>
        <w:tc>
          <w:tcPr>
            <w:tcW w:type="dxa" w:w="2928"/>
          </w:tcPr>
          <w:p>
            <w:r>
              <w:t>59.9%</w:t>
            </w:r>
          </w:p>
        </w:tc>
        <w:tc>
          <w:tcPr>
            <w:tcW w:type="dxa" w:w="2928"/>
          </w:tcPr>
          <w:p>
            <w:r>
              <w:t>24.87</w:t>
            </w:r>
          </w:p>
        </w:tc>
      </w:tr>
      <w:tr>
        <w:tc>
          <w:tcPr>
            <w:tcW w:type="dxa" w:w="2928"/>
          </w:tcPr>
          <w:p>
            <w:r>
              <w:t>2022</w:t>
            </w:r>
          </w:p>
        </w:tc>
        <w:tc>
          <w:tcPr>
            <w:tcW w:type="dxa" w:w="2928"/>
          </w:tcPr>
          <w:p>
            <w:r>
              <w:t>62.4%</w:t>
            </w:r>
          </w:p>
        </w:tc>
        <w:tc>
          <w:tcPr>
            <w:tcW w:type="dxa" w:w="2928"/>
          </w:tcPr>
          <w:p>
            <w:r>
              <w:t>24.12</w:t>
            </w:r>
          </w:p>
        </w:tc>
      </w:tr>
      <w:tr>
        <w:tc>
          <w:tcPr>
            <w:tcW w:type="dxa" w:w="2928"/>
          </w:tcPr>
          <w:p>
            <w:r>
              <w:t>2023</w:t>
            </w:r>
          </w:p>
        </w:tc>
        <w:tc>
          <w:tcPr>
            <w:tcW w:type="dxa" w:w="2928"/>
          </w:tcPr>
          <w:p>
            <w:r>
              <w:t>59.3%</w:t>
            </w:r>
          </w:p>
        </w:tc>
        <w:tc>
          <w:tcPr>
            <w:tcW w:type="dxa" w:w="2928"/>
          </w:tcPr>
          <w:p>
            <w:r>
              <w:t>24.77</w:t>
            </w:r>
          </w:p>
        </w:tc>
      </w:tr>
      <w:tr>
        <w:tc>
          <w:tcPr>
            <w:tcW w:type="dxa" w:w="2928"/>
          </w:tcPr>
          <w:p>
            <w:r>
              <w:t>2024</w:t>
            </w:r>
          </w:p>
        </w:tc>
        <w:tc>
          <w:tcPr>
            <w:tcW w:type="dxa" w:w="2928"/>
          </w:tcPr>
          <w:p>
            <w:r>
              <w:t>58.1%</w:t>
            </w:r>
          </w:p>
        </w:tc>
        <w:tc>
          <w:tcPr>
            <w:tcW w:type="dxa" w:w="2928"/>
          </w:tcPr>
          <w:p>
            <w:r>
              <w:t>24.24</w:t>
            </w:r>
          </w:p>
        </w:tc>
      </w:tr>
    </w:tbl>
    <w:p/>
    <w:p>
      <w:pPr>
        <w:pStyle w:val="Heading2"/>
        <w:jc w:val="left"/>
      </w:pPr>
      <w:r>
        <w:t>3. Estacionalidad — temperatura mensual</w:t>
      </w:r>
    </w:p>
    <w:p>
      <w:pPr>
        <w:spacing w:after="120"/>
      </w:pPr>
      <w:r>
        <w:t>Colombia presenta una estacionalidad termica moderada asociada a los periodos secos (diciembre–marzo y julio–agosto) y lluviosos (abril–junio y septiembre–noviembre). Los meses secos muestran temperaturas superficiales mas altas por mayor radiacion solar directa. El patron es consistente entre anos.</w:t>
      </w:r>
    </w:p>
    <w:p>
      <w:r>
        <w:drawing>
          <wp:inline xmlns:a="http://schemas.openxmlformats.org/drawingml/2006/main" xmlns:pic="http://schemas.openxmlformats.org/drawingml/2006/picture">
            <wp:extent cx="5303520" cy="2039815"/>
            <wp:docPr id="2" name="Picture 2"/>
            <wp:cNvGraphicFramePr>
              <a:graphicFrameLocks noChangeAspect="1"/>
            </wp:cNvGraphicFramePr>
            <a:graphic>
              <a:graphicData uri="http://schemas.openxmlformats.org/drawingml/2006/picture">
                <pic:pic>
                  <pic:nvPicPr>
                    <pic:cNvPr id="0" name="07_gee_temp_mensual.png"/>
                    <pic:cNvPicPr/>
                  </pic:nvPicPr>
                  <pic:blipFill>
                    <a:blip r:embed="rId10"/>
                    <a:stretch>
                      <a:fillRect/>
                    </a:stretch>
                  </pic:blipFill>
                  <pic:spPr>
                    <a:xfrm>
                      <a:off x="0" y="0"/>
                      <a:ext cx="5303520" cy="2039815"/>
                    </a:xfrm>
                    <a:prstGeom prst="rect"/>
                  </pic:spPr>
                </pic:pic>
              </a:graphicData>
            </a:graphic>
          </wp:inline>
        </w:drawing>
      </w:r>
    </w:p>
    <w:p>
      <w:pPr>
        <w:jc w:val="center"/>
      </w:pPr>
      <w:r>
        <w:rPr>
          <w:i/>
          <w:color w:val="5C6B84"/>
          <w:sz w:val="18"/>
        </w:rPr>
        <w:t>Figura 7. Temperatura superficial mensual 2007–2024. Lineas azules: anos individuales. Roja: promedio historico.</w:t>
      </w:r>
    </w:p>
    <w:p>
      <w:pPr>
        <w:pStyle w:val="Heading2"/>
        <w:jc w:val="left"/>
      </w:pPr>
      <w:r>
        <w:t>4. Tendencia anual</w:t>
      </w:r>
    </w:p>
    <w:p>
      <w:pPr>
        <w:spacing w:after="120"/>
      </w:pPr>
      <w:r>
        <w:t>La temperatura superficial promedio nacional muestra variaciones interanuales asociadas a fenomenos climaticos (El Nino/La Nina). No se observa una tendencia de calentamiento estadisticamente clara en el periodo 2007–2024, aunque anos El Nino tienden a mostrar temperaturas mas altas.</w:t>
      </w:r>
    </w:p>
    <w:p>
      <w:r>
        <w:drawing>
          <wp:inline xmlns:a="http://schemas.openxmlformats.org/drawingml/2006/main" xmlns:pic="http://schemas.openxmlformats.org/drawingml/2006/picture">
            <wp:extent cx="5303520" cy="1631852"/>
            <wp:docPr id="3" name="Picture 3"/>
            <wp:cNvGraphicFramePr>
              <a:graphicFrameLocks noChangeAspect="1"/>
            </wp:cNvGraphicFramePr>
            <a:graphic>
              <a:graphicData uri="http://schemas.openxmlformats.org/drawingml/2006/picture">
                <pic:pic>
                  <pic:nvPicPr>
                    <pic:cNvPr id="0" name="08_gee_temp_por_ano.png"/>
                    <pic:cNvPicPr/>
                  </pic:nvPicPr>
                  <pic:blipFill>
                    <a:blip r:embed="rId11"/>
                    <a:stretch>
                      <a:fillRect/>
                    </a:stretch>
                  </pic:blipFill>
                  <pic:spPr>
                    <a:xfrm>
                      <a:off x="0" y="0"/>
                      <a:ext cx="5303520" cy="1631852"/>
                    </a:xfrm>
                    <a:prstGeom prst="rect"/>
                  </pic:spPr>
                </pic:pic>
              </a:graphicData>
            </a:graphic>
          </wp:inline>
        </w:drawing>
      </w:r>
    </w:p>
    <w:p>
      <w:pPr>
        <w:jc w:val="center"/>
      </w:pPr>
      <w:r>
        <w:rPr>
          <w:i/>
          <w:color w:val="5C6B84"/>
          <w:sz w:val="18"/>
        </w:rPr>
        <w:t>Figura 8. Temperatura superficial promedio anual — Colombia.</w:t>
      </w:r>
    </w:p>
    <w:p>
      <w:pPr>
        <w:pStyle w:val="Heading2"/>
        <w:jc w:val="left"/>
      </w:pPr>
      <w:r>
        <w:t>5. Distribucion de temperatura</w:t>
      </w:r>
    </w:p>
    <w:p>
      <w:pPr>
        <w:spacing w:after="120"/>
      </w:pPr>
      <w:r>
        <w:t>La distribucion de LST es aproximadamente normal con media 25.17°C y desviacion estandar 5.62°C, reflejando la diversidad climatica de Colombia: desde municipios costeros y llaneros con temperaturas superiores a 40°C, hasta municipios de alta montana con valores negativos en superficies glaciares.</w:t>
      </w:r>
    </w:p>
    <w:p>
      <w:r>
        <w:drawing>
          <wp:inline xmlns:a="http://schemas.openxmlformats.org/drawingml/2006/main" xmlns:pic="http://schemas.openxmlformats.org/drawingml/2006/picture">
            <wp:extent cx="5303520" cy="2121408"/>
            <wp:docPr id="4" name="Picture 4"/>
            <wp:cNvGraphicFramePr>
              <a:graphicFrameLocks noChangeAspect="1"/>
            </wp:cNvGraphicFramePr>
            <a:graphic>
              <a:graphicData uri="http://schemas.openxmlformats.org/drawingml/2006/picture">
                <pic:pic>
                  <pic:nvPicPr>
                    <pic:cNvPr id="0" name="09_gee_distribucion_lst.png"/>
                    <pic:cNvPicPr/>
                  </pic:nvPicPr>
                  <pic:blipFill>
                    <a:blip r:embed="rId12"/>
                    <a:stretch>
                      <a:fillRect/>
                    </a:stretch>
                  </pic:blipFill>
                  <pic:spPr>
                    <a:xfrm>
                      <a:off x="0" y="0"/>
                      <a:ext cx="5303520" cy="2121408"/>
                    </a:xfrm>
                    <a:prstGeom prst="rect"/>
                  </pic:spPr>
                </pic:pic>
              </a:graphicData>
            </a:graphic>
          </wp:inline>
        </w:drawing>
      </w:r>
    </w:p>
    <w:p>
      <w:pPr>
        <w:jc w:val="center"/>
      </w:pPr>
      <w:r>
        <w:rPr>
          <w:i/>
          <w:color w:val="5C6B84"/>
          <w:sz w:val="18"/>
        </w:rPr>
        <w:t>Figura 9. Distribucion de temperatura superficial (valores validos, 2007–2024).</w:t>
      </w:r>
    </w:p>
    <w:p>
      <w:pPr>
        <w:pStyle w:val="Heading2"/>
        <w:jc w:val="left"/>
      </w:pPr>
      <w:r>
        <w:t>6. Distribucion geografica por departamento</w:t>
      </w:r>
    </w:p>
    <w:p>
      <w:pPr>
        <w:spacing w:after="120"/>
      </w:pPr>
      <w:r>
        <w:t>Los departamentos de la Costa Caribe, Orinoquia y Amazonia presentan las temperaturas superficiales mas altas (&gt;30°C), mientras que Boyaca, Narino y Cundinamarca registran las mas bajas por su mayor altitud media. Esta variabilidad geografica es un predictor relevante del riesgo de dengue.</w:t>
      </w:r>
    </w:p>
    <w:p>
      <w:r>
        <w:drawing>
          <wp:inline xmlns:a="http://schemas.openxmlformats.org/drawingml/2006/main" xmlns:pic="http://schemas.openxmlformats.org/drawingml/2006/picture">
            <wp:extent cx="5303520" cy="2651760"/>
            <wp:docPr id="5" name="Picture 5"/>
            <wp:cNvGraphicFramePr>
              <a:graphicFrameLocks noChangeAspect="1"/>
            </wp:cNvGraphicFramePr>
            <a:graphic>
              <a:graphicData uri="http://schemas.openxmlformats.org/drawingml/2006/picture">
                <pic:pic>
                  <pic:nvPicPr>
                    <pic:cNvPr id="0" name="10_gee_temp_por_dpto.png"/>
                    <pic:cNvPicPr/>
                  </pic:nvPicPr>
                  <pic:blipFill>
                    <a:blip r:embed="rId13"/>
                    <a:stretch>
                      <a:fillRect/>
                    </a:stretch>
                  </pic:blipFill>
                  <pic:spPr>
                    <a:xfrm>
                      <a:off x="0" y="0"/>
                      <a:ext cx="5303520" cy="2651760"/>
                    </a:xfrm>
                    <a:prstGeom prst="rect"/>
                  </pic:spPr>
                </pic:pic>
              </a:graphicData>
            </a:graphic>
          </wp:inline>
        </w:drawing>
      </w:r>
    </w:p>
    <w:p>
      <w:pPr>
        <w:jc w:val="center"/>
      </w:pPr>
      <w:r>
        <w:rPr>
          <w:i/>
          <w:color w:val="5C6B84"/>
          <w:sz w:val="18"/>
        </w:rPr>
        <w:t>Figura 10. Temperatura superficial promedio por departamento.</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0E1E3C"/>
          </w:tcPr>
          <w:p>
            <w:r>
              <w:rPr>
                <w:b/>
                <w:color w:val="FFFFFF"/>
              </w:rPr>
              <w:t>Departamento</w:t>
            </w:r>
          </w:p>
        </w:tc>
        <w:tc>
          <w:tcPr>
            <w:tcW w:type="dxa" w:w="2928"/>
            <w:shd w:val="clear" w:color="auto" w:fill="0E1E3C"/>
          </w:tcPr>
          <w:p>
            <w:r>
              <w:rPr>
                <w:b/>
                <w:color w:val="FFFFFF"/>
              </w:rPr>
              <w:t>Media (C)</w:t>
            </w:r>
          </w:p>
        </w:tc>
        <w:tc>
          <w:tcPr>
            <w:tcW w:type="dxa" w:w="2928"/>
            <w:shd w:val="clear" w:color="auto" w:fill="0E1E3C"/>
          </w:tcPr>
          <w:p>
            <w:r>
              <w:rPr>
                <w:b/>
                <w:color w:val="FFFFFF"/>
              </w:rPr>
              <w:t>Std (C)</w:t>
            </w:r>
          </w:p>
        </w:tc>
      </w:tr>
      <w:tr>
        <w:tc>
          <w:tcPr>
            <w:tcW w:type="dxa" w:w="2928"/>
          </w:tcPr>
          <w:p>
            <w:r>
              <w:t>Atlantico</w:t>
            </w:r>
          </w:p>
        </w:tc>
        <w:tc>
          <w:tcPr>
            <w:tcW w:type="dxa" w:w="2928"/>
          </w:tcPr>
          <w:p>
            <w:r>
              <w:t>31.94</w:t>
            </w:r>
          </w:p>
        </w:tc>
        <w:tc>
          <w:tcPr>
            <w:tcW w:type="dxa" w:w="2928"/>
          </w:tcPr>
          <w:p>
            <w:r>
              <w:t>4.28</w:t>
            </w:r>
          </w:p>
        </w:tc>
      </w:tr>
      <w:tr>
        <w:tc>
          <w:tcPr>
            <w:tcW w:type="dxa" w:w="2928"/>
          </w:tcPr>
          <w:p>
            <w:r>
              <w:t>Sucre</w:t>
            </w:r>
          </w:p>
        </w:tc>
        <w:tc>
          <w:tcPr>
            <w:tcW w:type="dxa" w:w="2928"/>
          </w:tcPr>
          <w:p>
            <w:r>
              <w:t>31.18</w:t>
            </w:r>
          </w:p>
        </w:tc>
        <w:tc>
          <w:tcPr>
            <w:tcW w:type="dxa" w:w="2928"/>
          </w:tcPr>
          <w:p>
            <w:r>
              <w:t>4.50</w:t>
            </w:r>
          </w:p>
        </w:tc>
      </w:tr>
      <w:tr>
        <w:tc>
          <w:tcPr>
            <w:tcW w:type="dxa" w:w="2928"/>
          </w:tcPr>
          <w:p>
            <w:r>
              <w:t>Guajira</w:t>
            </w:r>
          </w:p>
        </w:tc>
        <w:tc>
          <w:tcPr>
            <w:tcW w:type="dxa" w:w="2928"/>
          </w:tcPr>
          <w:p>
            <w:r>
              <w:t>30.37</w:t>
            </w:r>
          </w:p>
        </w:tc>
        <w:tc>
          <w:tcPr>
            <w:tcW w:type="dxa" w:w="2928"/>
          </w:tcPr>
          <w:p>
            <w:r>
              <w:t>4.92</w:t>
            </w:r>
          </w:p>
        </w:tc>
      </w:tr>
      <w:tr>
        <w:tc>
          <w:tcPr>
            <w:tcW w:type="dxa" w:w="2928"/>
          </w:tcPr>
          <w:p>
            <w:r>
              <w:t>Vichada</w:t>
            </w:r>
          </w:p>
        </w:tc>
        <w:tc>
          <w:tcPr>
            <w:tcW w:type="dxa" w:w="2928"/>
          </w:tcPr>
          <w:p>
            <w:r>
              <w:t>30.37</w:t>
            </w:r>
          </w:p>
        </w:tc>
        <w:tc>
          <w:tcPr>
            <w:tcW w:type="dxa" w:w="2928"/>
          </w:tcPr>
          <w:p>
            <w:r>
              <w:t>4.06</w:t>
            </w:r>
          </w:p>
        </w:tc>
      </w:tr>
      <w:tr>
        <w:tc>
          <w:tcPr>
            <w:tcW w:type="dxa" w:w="2928"/>
          </w:tcPr>
          <w:p>
            <w:r>
              <w:t>Magdalena</w:t>
            </w:r>
          </w:p>
        </w:tc>
        <w:tc>
          <w:tcPr>
            <w:tcW w:type="dxa" w:w="2928"/>
          </w:tcPr>
          <w:p>
            <w:r>
              <w:t>29.95</w:t>
            </w:r>
          </w:p>
        </w:tc>
        <w:tc>
          <w:tcPr>
            <w:tcW w:type="dxa" w:w="2928"/>
          </w:tcPr>
          <w:p>
            <w:r>
              <w:t>5.24</w:t>
            </w:r>
          </w:p>
        </w:tc>
      </w:tr>
      <w:tr>
        <w:tc>
          <w:tcPr>
            <w:tcW w:type="dxa" w:w="2928"/>
          </w:tcPr>
          <w:p>
            <w:r>
              <w:t>Cordoba</w:t>
            </w:r>
          </w:p>
        </w:tc>
        <w:tc>
          <w:tcPr>
            <w:tcW w:type="dxa" w:w="2928"/>
          </w:tcPr>
          <w:p>
            <w:r>
              <w:t>29.84</w:t>
            </w:r>
          </w:p>
        </w:tc>
        <w:tc>
          <w:tcPr>
            <w:tcW w:type="dxa" w:w="2928"/>
          </w:tcPr>
          <w:p>
            <w:r>
              <w:t>3.87</w:t>
            </w:r>
          </w:p>
        </w:tc>
      </w:tr>
      <w:tr>
        <w:tc>
          <w:tcPr>
            <w:tcW w:type="dxa" w:w="2928"/>
          </w:tcPr>
          <w:p>
            <w:r>
              <w:t>Cesar</w:t>
            </w:r>
          </w:p>
        </w:tc>
        <w:tc>
          <w:tcPr>
            <w:tcW w:type="dxa" w:w="2928"/>
          </w:tcPr>
          <w:p>
            <w:r>
              <w:t>29.59</w:t>
            </w:r>
          </w:p>
        </w:tc>
        <w:tc>
          <w:tcPr>
            <w:tcW w:type="dxa" w:w="2928"/>
          </w:tcPr>
          <w:p>
            <w:r>
              <w:t>4.74</w:t>
            </w:r>
          </w:p>
        </w:tc>
      </w:tr>
      <w:tr>
        <w:tc>
          <w:tcPr>
            <w:tcW w:type="dxa" w:w="2928"/>
          </w:tcPr>
          <w:p>
            <w:r>
              <w:t>Bolivar</w:t>
            </w:r>
          </w:p>
        </w:tc>
        <w:tc>
          <w:tcPr>
            <w:tcW w:type="dxa" w:w="2928"/>
          </w:tcPr>
          <w:p>
            <w:r>
              <w:t>29.48</w:t>
            </w:r>
          </w:p>
        </w:tc>
        <w:tc>
          <w:tcPr>
            <w:tcW w:type="dxa" w:w="2928"/>
          </w:tcPr>
          <w:p>
            <w:r>
              <w:t>3.92</w:t>
            </w:r>
          </w:p>
        </w:tc>
      </w:tr>
      <w:tr>
        <w:tc>
          <w:tcPr>
            <w:tcW w:type="dxa" w:w="2928"/>
          </w:tcPr>
          <w:p>
            <w:r>
              <w:t>Casanare</w:t>
            </w:r>
          </w:p>
        </w:tc>
        <w:tc>
          <w:tcPr>
            <w:tcW w:type="dxa" w:w="2928"/>
          </w:tcPr>
          <w:p>
            <w:r>
              <w:t>28.63</w:t>
            </w:r>
          </w:p>
        </w:tc>
        <w:tc>
          <w:tcPr>
            <w:tcW w:type="dxa" w:w="2928"/>
          </w:tcPr>
          <w:p>
            <w:r>
              <w:t>5.22</w:t>
            </w:r>
          </w:p>
        </w:tc>
      </w:tr>
      <w:tr>
        <w:tc>
          <w:tcPr>
            <w:tcW w:type="dxa" w:w="2928"/>
          </w:tcPr>
          <w:p>
            <w:r>
              <w:t>Arauca</w:t>
            </w:r>
          </w:p>
        </w:tc>
        <w:tc>
          <w:tcPr>
            <w:tcW w:type="dxa" w:w="2928"/>
          </w:tcPr>
          <w:p>
            <w:r>
              <w:t>28.31</w:t>
            </w:r>
          </w:p>
        </w:tc>
        <w:tc>
          <w:tcPr>
            <w:tcW w:type="dxa" w:w="2928"/>
          </w:tcPr>
          <w:p>
            <w:r>
              <w:t>6.04</w:t>
            </w:r>
          </w:p>
        </w:tc>
      </w:tr>
      <w:tr>
        <w:tc>
          <w:tcPr>
            <w:tcW w:type="dxa" w:w="2928"/>
          </w:tcPr>
          <w:p>
            <w:r>
              <w:t>Meta</w:t>
            </w:r>
          </w:p>
        </w:tc>
        <w:tc>
          <w:tcPr>
            <w:tcW w:type="dxa" w:w="2928"/>
          </w:tcPr>
          <w:p>
            <w:r>
              <w:t>27.48</w:t>
            </w:r>
          </w:p>
        </w:tc>
        <w:tc>
          <w:tcPr>
            <w:tcW w:type="dxa" w:w="2928"/>
          </w:tcPr>
          <w:p>
            <w:r>
              <w:t>5.11</w:t>
            </w:r>
          </w:p>
        </w:tc>
      </w:tr>
      <w:tr>
        <w:tc>
          <w:tcPr>
            <w:tcW w:type="dxa" w:w="2928"/>
          </w:tcPr>
          <w:p>
            <w:r>
              <w:t>Caqueta</w:t>
            </w:r>
          </w:p>
        </w:tc>
        <w:tc>
          <w:tcPr>
            <w:tcW w:type="dxa" w:w="2928"/>
          </w:tcPr>
          <w:p>
            <w:r>
              <w:t>27.38</w:t>
            </w:r>
          </w:p>
        </w:tc>
        <w:tc>
          <w:tcPr>
            <w:tcW w:type="dxa" w:w="2928"/>
          </w:tcPr>
          <w:p>
            <w:r>
              <w:t>3.75</w:t>
            </w:r>
          </w:p>
        </w:tc>
      </w:tr>
      <w:tr>
        <w:tc>
          <w:tcPr>
            <w:tcW w:type="dxa" w:w="2928"/>
          </w:tcPr>
          <w:p>
            <w:r>
              <w:t>Guainia</w:t>
            </w:r>
          </w:p>
        </w:tc>
        <w:tc>
          <w:tcPr>
            <w:tcW w:type="dxa" w:w="2928"/>
          </w:tcPr>
          <w:p>
            <w:r>
              <w:t>27.36</w:t>
            </w:r>
          </w:p>
        </w:tc>
        <w:tc>
          <w:tcPr>
            <w:tcW w:type="dxa" w:w="2928"/>
          </w:tcPr>
          <w:p>
            <w:r>
              <w:t>2.84</w:t>
            </w:r>
          </w:p>
        </w:tc>
      </w:tr>
      <w:tr>
        <w:tc>
          <w:tcPr>
            <w:tcW w:type="dxa" w:w="2928"/>
          </w:tcPr>
          <w:p>
            <w:r>
              <w:t>Guaviare</w:t>
            </w:r>
          </w:p>
        </w:tc>
        <w:tc>
          <w:tcPr>
            <w:tcW w:type="dxa" w:w="2928"/>
          </w:tcPr>
          <w:p>
            <w:r>
              <w:t>27.19</w:t>
            </w:r>
          </w:p>
        </w:tc>
        <w:tc>
          <w:tcPr>
            <w:tcW w:type="dxa" w:w="2928"/>
          </w:tcPr>
          <w:p>
            <w:r>
              <w:t>2.57</w:t>
            </w:r>
          </w:p>
        </w:tc>
      </w:tr>
      <w:tr>
        <w:tc>
          <w:tcPr>
            <w:tcW w:type="dxa" w:w="2928"/>
          </w:tcPr>
          <w:p>
            <w:r>
              <w:t>Vaupes</w:t>
            </w:r>
          </w:p>
        </w:tc>
        <w:tc>
          <w:tcPr>
            <w:tcW w:type="dxa" w:w="2928"/>
          </w:tcPr>
          <w:p>
            <w:r>
              <w:t>26.73</w:t>
            </w:r>
          </w:p>
        </w:tc>
        <w:tc>
          <w:tcPr>
            <w:tcW w:type="dxa" w:w="2928"/>
          </w:tcPr>
          <w:p>
            <w:r>
              <w:t>2.72</w:t>
            </w:r>
          </w:p>
        </w:tc>
      </w:tr>
      <w:tr>
        <w:tc>
          <w:tcPr>
            <w:tcW w:type="dxa" w:w="2928"/>
          </w:tcPr>
          <w:p>
            <w:r>
              <w:t>Amazonas</w:t>
            </w:r>
          </w:p>
        </w:tc>
        <w:tc>
          <w:tcPr>
            <w:tcW w:type="dxa" w:w="2928"/>
          </w:tcPr>
          <w:p>
            <w:r>
              <w:t>26.71</w:t>
            </w:r>
          </w:p>
        </w:tc>
        <w:tc>
          <w:tcPr>
            <w:tcW w:type="dxa" w:w="2928"/>
          </w:tcPr>
          <w:p>
            <w:r>
              <w:t>2.74</w:t>
            </w:r>
          </w:p>
        </w:tc>
      </w:tr>
      <w:tr>
        <w:tc>
          <w:tcPr>
            <w:tcW w:type="dxa" w:w="2928"/>
          </w:tcPr>
          <w:p>
            <w:r>
              <w:t>San Andres Y Providencia</w:t>
            </w:r>
          </w:p>
        </w:tc>
        <w:tc>
          <w:tcPr>
            <w:tcW w:type="dxa" w:w="2928"/>
          </w:tcPr>
          <w:p>
            <w:r>
              <w:t>26.54</w:t>
            </w:r>
          </w:p>
        </w:tc>
        <w:tc>
          <w:tcPr>
            <w:tcW w:type="dxa" w:w="2928"/>
          </w:tcPr>
          <w:p>
            <w:r>
              <w:t>2.65</w:t>
            </w:r>
          </w:p>
        </w:tc>
      </w:tr>
      <w:tr>
        <w:tc>
          <w:tcPr>
            <w:tcW w:type="dxa" w:w="2928"/>
          </w:tcPr>
          <w:p>
            <w:r>
              <w:t>Buenaventura</w:t>
            </w:r>
          </w:p>
        </w:tc>
        <w:tc>
          <w:tcPr>
            <w:tcW w:type="dxa" w:w="2928"/>
          </w:tcPr>
          <w:p>
            <w:r>
              <w:t>25.95</w:t>
            </w:r>
          </w:p>
        </w:tc>
        <w:tc>
          <w:tcPr>
            <w:tcW w:type="dxa" w:w="2928"/>
          </w:tcPr>
          <w:p>
            <w:r>
              <w:t>2.67</w:t>
            </w:r>
          </w:p>
        </w:tc>
      </w:tr>
      <w:tr>
        <w:tc>
          <w:tcPr>
            <w:tcW w:type="dxa" w:w="2928"/>
          </w:tcPr>
          <w:p>
            <w:r>
              <w:t>Tolima</w:t>
            </w:r>
          </w:p>
        </w:tc>
        <w:tc>
          <w:tcPr>
            <w:tcW w:type="dxa" w:w="2928"/>
          </w:tcPr>
          <w:p>
            <w:r>
              <w:t>25.63</w:t>
            </w:r>
          </w:p>
        </w:tc>
        <w:tc>
          <w:tcPr>
            <w:tcW w:type="dxa" w:w="2928"/>
          </w:tcPr>
          <w:p>
            <w:r>
              <w:t>6.83</w:t>
            </w:r>
          </w:p>
        </w:tc>
      </w:tr>
      <w:tr>
        <w:tc>
          <w:tcPr>
            <w:tcW w:type="dxa" w:w="2928"/>
          </w:tcPr>
          <w:p>
            <w:r>
              <w:t>Valle Del Cauca</w:t>
            </w:r>
          </w:p>
        </w:tc>
        <w:tc>
          <w:tcPr>
            <w:tcW w:type="dxa" w:w="2928"/>
          </w:tcPr>
          <w:p>
            <w:r>
              <w:t>25.07</w:t>
            </w:r>
          </w:p>
        </w:tc>
        <w:tc>
          <w:tcPr>
            <w:tcW w:type="dxa" w:w="2928"/>
          </w:tcPr>
          <w:p>
            <w:r>
              <w:t>4.41</w:t>
            </w:r>
          </w:p>
        </w:tc>
      </w:tr>
      <w:tr>
        <w:tc>
          <w:tcPr>
            <w:tcW w:type="dxa" w:w="2928"/>
          </w:tcPr>
          <w:p>
            <w:r>
              <w:t>Huila</w:t>
            </w:r>
          </w:p>
        </w:tc>
        <w:tc>
          <w:tcPr>
            <w:tcW w:type="dxa" w:w="2928"/>
          </w:tcPr>
          <w:p>
            <w:r>
              <w:t>24.88</w:t>
            </w:r>
          </w:p>
        </w:tc>
        <w:tc>
          <w:tcPr>
            <w:tcW w:type="dxa" w:w="2928"/>
          </w:tcPr>
          <w:p>
            <w:r>
              <w:t>5.91</w:t>
            </w:r>
          </w:p>
        </w:tc>
      </w:tr>
      <w:tr>
        <w:tc>
          <w:tcPr>
            <w:tcW w:type="dxa" w:w="2928"/>
          </w:tcPr>
          <w:p>
            <w:r>
              <w:t>Santander</w:t>
            </w:r>
          </w:p>
        </w:tc>
        <w:tc>
          <w:tcPr>
            <w:tcW w:type="dxa" w:w="2928"/>
          </w:tcPr>
          <w:p>
            <w:r>
              <w:t>24.47</w:t>
            </w:r>
          </w:p>
        </w:tc>
        <w:tc>
          <w:tcPr>
            <w:tcW w:type="dxa" w:w="2928"/>
          </w:tcPr>
          <w:p>
            <w:r>
              <w:t>4.39</w:t>
            </w:r>
          </w:p>
        </w:tc>
      </w:tr>
      <w:tr>
        <w:tc>
          <w:tcPr>
            <w:tcW w:type="dxa" w:w="2928"/>
          </w:tcPr>
          <w:p>
            <w:r>
              <w:t>Putumayo</w:t>
            </w:r>
          </w:p>
        </w:tc>
        <w:tc>
          <w:tcPr>
            <w:tcW w:type="dxa" w:w="2928"/>
          </w:tcPr>
          <w:p>
            <w:r>
              <w:t>24.14</w:t>
            </w:r>
          </w:p>
        </w:tc>
        <w:tc>
          <w:tcPr>
            <w:tcW w:type="dxa" w:w="2928"/>
          </w:tcPr>
          <w:p>
            <w:r>
              <w:t>5.16</w:t>
            </w:r>
          </w:p>
        </w:tc>
      </w:tr>
      <w:tr>
        <w:tc>
          <w:tcPr>
            <w:tcW w:type="dxa" w:w="2928"/>
          </w:tcPr>
          <w:p>
            <w:r>
              <w:t>Choco</w:t>
            </w:r>
          </w:p>
        </w:tc>
        <w:tc>
          <w:tcPr>
            <w:tcW w:type="dxa" w:w="2928"/>
          </w:tcPr>
          <w:p>
            <w:r>
              <w:t>23.82</w:t>
            </w:r>
          </w:p>
        </w:tc>
        <w:tc>
          <w:tcPr>
            <w:tcW w:type="dxa" w:w="2928"/>
          </w:tcPr>
          <w:p>
            <w:r>
              <w:t>3.94</w:t>
            </w:r>
          </w:p>
        </w:tc>
      </w:tr>
      <w:tr>
        <w:tc>
          <w:tcPr>
            <w:tcW w:type="dxa" w:w="2928"/>
          </w:tcPr>
          <w:p>
            <w:r>
              <w:t>Quindio</w:t>
            </w:r>
          </w:p>
        </w:tc>
        <w:tc>
          <w:tcPr>
            <w:tcW w:type="dxa" w:w="2928"/>
          </w:tcPr>
          <w:p>
            <w:r>
              <w:t>23.76</w:t>
            </w:r>
          </w:p>
        </w:tc>
        <w:tc>
          <w:tcPr>
            <w:tcW w:type="dxa" w:w="2928"/>
          </w:tcPr>
          <w:p>
            <w:r>
              <w:t>4.32</w:t>
            </w:r>
          </w:p>
        </w:tc>
      </w:tr>
      <w:tr>
        <w:tc>
          <w:tcPr>
            <w:tcW w:type="dxa" w:w="2928"/>
          </w:tcPr>
          <w:p>
            <w:r>
              <w:t>Caldas</w:t>
            </w:r>
          </w:p>
        </w:tc>
        <w:tc>
          <w:tcPr>
            <w:tcW w:type="dxa" w:w="2928"/>
          </w:tcPr>
          <w:p>
            <w:r>
              <w:t>23.72</w:t>
            </w:r>
          </w:p>
        </w:tc>
        <w:tc>
          <w:tcPr>
            <w:tcW w:type="dxa" w:w="2928"/>
          </w:tcPr>
          <w:p>
            <w:r>
              <w:t>4.54</w:t>
            </w:r>
          </w:p>
        </w:tc>
      </w:tr>
      <w:tr>
        <w:tc>
          <w:tcPr>
            <w:tcW w:type="dxa" w:w="2928"/>
          </w:tcPr>
          <w:p>
            <w:r>
              <w:t>Antioquia</w:t>
            </w:r>
          </w:p>
        </w:tc>
        <w:tc>
          <w:tcPr>
            <w:tcW w:type="dxa" w:w="2928"/>
          </w:tcPr>
          <w:p>
            <w:r>
              <w:t>23.64</w:t>
            </w:r>
          </w:p>
        </w:tc>
        <w:tc>
          <w:tcPr>
            <w:tcW w:type="dxa" w:w="2928"/>
          </w:tcPr>
          <w:p>
            <w:r>
              <w:t>4.23</w:t>
            </w:r>
          </w:p>
        </w:tc>
      </w:tr>
      <w:tr>
        <w:tc>
          <w:tcPr>
            <w:tcW w:type="dxa" w:w="2928"/>
          </w:tcPr>
          <w:p>
            <w:r>
              <w:t>Cauca</w:t>
            </w:r>
          </w:p>
        </w:tc>
        <w:tc>
          <w:tcPr>
            <w:tcW w:type="dxa" w:w="2928"/>
          </w:tcPr>
          <w:p>
            <w:r>
              <w:t>23.49</w:t>
            </w:r>
          </w:p>
        </w:tc>
        <w:tc>
          <w:tcPr>
            <w:tcW w:type="dxa" w:w="2928"/>
          </w:tcPr>
          <w:p>
            <w:r>
              <w:t>5.06</w:t>
            </w:r>
          </w:p>
        </w:tc>
      </w:tr>
      <w:tr>
        <w:tc>
          <w:tcPr>
            <w:tcW w:type="dxa" w:w="2928"/>
          </w:tcPr>
          <w:p>
            <w:r>
              <w:t>Norte De Santander</w:t>
            </w:r>
          </w:p>
        </w:tc>
        <w:tc>
          <w:tcPr>
            <w:tcW w:type="dxa" w:w="2928"/>
          </w:tcPr>
          <w:p>
            <w:r>
              <w:t>23.20</w:t>
            </w:r>
          </w:p>
        </w:tc>
        <w:tc>
          <w:tcPr>
            <w:tcW w:type="dxa" w:w="2928"/>
          </w:tcPr>
          <w:p>
            <w:r>
              <w:t>4.81</w:t>
            </w:r>
          </w:p>
        </w:tc>
      </w:tr>
      <w:tr>
        <w:tc>
          <w:tcPr>
            <w:tcW w:type="dxa" w:w="2928"/>
          </w:tcPr>
          <w:p>
            <w:r>
              <w:t>Cundinamarca</w:t>
            </w:r>
          </w:p>
        </w:tc>
        <w:tc>
          <w:tcPr>
            <w:tcW w:type="dxa" w:w="2928"/>
          </w:tcPr>
          <w:p>
            <w:r>
              <w:t>23.01</w:t>
            </w:r>
          </w:p>
        </w:tc>
        <w:tc>
          <w:tcPr>
            <w:tcW w:type="dxa" w:w="2928"/>
          </w:tcPr>
          <w:p>
            <w:r>
              <w:t>5.39</w:t>
            </w:r>
          </w:p>
        </w:tc>
      </w:tr>
      <w:tr>
        <w:tc>
          <w:tcPr>
            <w:tcW w:type="dxa" w:w="2928"/>
          </w:tcPr>
          <w:p>
            <w:r>
              <w:t>Risaralda</w:t>
            </w:r>
          </w:p>
        </w:tc>
        <w:tc>
          <w:tcPr>
            <w:tcW w:type="dxa" w:w="2928"/>
          </w:tcPr>
          <w:p>
            <w:r>
              <w:t>22.43</w:t>
            </w:r>
          </w:p>
        </w:tc>
        <w:tc>
          <w:tcPr>
            <w:tcW w:type="dxa" w:w="2928"/>
          </w:tcPr>
          <w:p>
            <w:r>
              <w:t>4.81</w:t>
            </w:r>
          </w:p>
        </w:tc>
      </w:tr>
      <w:tr>
        <w:tc>
          <w:tcPr>
            <w:tcW w:type="dxa" w:w="2928"/>
          </w:tcPr>
          <w:p>
            <w:r>
              <w:t>Narino</w:t>
            </w:r>
          </w:p>
        </w:tc>
        <w:tc>
          <w:tcPr>
            <w:tcW w:type="dxa" w:w="2928"/>
          </w:tcPr>
          <w:p>
            <w:r>
              <w:t>21.99</w:t>
            </w:r>
          </w:p>
        </w:tc>
        <w:tc>
          <w:tcPr>
            <w:tcW w:type="dxa" w:w="2928"/>
          </w:tcPr>
          <w:p>
            <w:r>
              <w:t>5.45</w:t>
            </w:r>
          </w:p>
        </w:tc>
      </w:tr>
      <w:tr>
        <w:tc>
          <w:tcPr>
            <w:tcW w:type="dxa" w:w="2928"/>
          </w:tcPr>
          <w:p>
            <w:r>
              <w:t>Boyaca</w:t>
            </w:r>
          </w:p>
        </w:tc>
        <w:tc>
          <w:tcPr>
            <w:tcW w:type="dxa" w:w="2928"/>
          </w:tcPr>
          <w:p>
            <w:r>
              <w:t>21.78</w:t>
            </w:r>
          </w:p>
        </w:tc>
        <w:tc>
          <w:tcPr>
            <w:tcW w:type="dxa" w:w="2928"/>
          </w:tcPr>
          <w:p>
            <w:r>
              <w:t>4.71</w:t>
            </w:r>
          </w:p>
        </w:tc>
      </w:tr>
    </w:tbl>
    <w:p/>
    <w:p>
      <w:pPr>
        <w:pStyle w:val="Heading2"/>
        <w:jc w:val="left"/>
      </w:pPr>
      <w:r>
        <w:t>7. Consideraciones para el modelado</w:t>
      </w:r>
    </w:p>
    <w:p>
      <w:pPr>
        <w:spacing w:after="120"/>
      </w:pPr>
      <w:r>
        <w:t>Para integrar los datos de LST con SIVIGILA, el campo de union es ADM2_CODE (GEE) = COD_MUN_O (SIVIGILA). Antes del modelado se requiere agregar la temperatura diaria a granularidad semanal (semana epidemiologica) e imputar los nulos — las estrategias recomendadas son interpolacion lineal temporal por municipio o imputacion por la mediana de la misma semana en anos no nulos. La temperatura es un predictor biologicamente justificado del ciclo reproductivo del vector Aedes aegypti (temperatura optima: 25–30°C).</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