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Exploración de Datos — Dengue Clásico (COD_EVE 210)</w:t>
      </w:r>
    </w:p>
    <w:p>
      <w:pPr>
        <w:spacing w:after="120"/>
      </w:pPr>
      <w:r>
        <w:t>Sistema de Alerta Temprana de Dengue · Grupo 11 · MAIA PDS · Universidad de los Andes</w:t>
      </w:r>
    </w:p>
    <w:p>
      <w:pPr>
        <w:spacing w:after="120"/>
      </w:pPr>
      <w:r>
        <w:t>Fuente: SIVIGILA / INS · Período: 2007–2024 · Evento 210 (dengue sin/con signos de alarma)</w:t>
      </w:r>
    </w:p>
    <w:p/>
    <w:p>
      <w:pPr>
        <w:pStyle w:val="Heading2"/>
        <w:jc w:val="left"/>
      </w:pPr>
      <w:r>
        <w:t>1. Resumen general</w:t>
      </w:r>
    </w:p>
    <w:tbl>
      <w:tblPr>
        <w:tblStyle w:val="TableGrid"/>
        <w:tblW w:type="auto" w:w="0"/>
        <w:tblLook w:firstColumn="1" w:firstRow="1" w:lastColumn="0" w:lastRow="0" w:noHBand="0" w:noVBand="1" w:val="04A0"/>
      </w:tblPr>
      <w:tblGrid>
        <w:gridCol w:w="4392"/>
        <w:gridCol w:w="4392"/>
      </w:tblGrid>
      <w:tr>
        <w:tc>
          <w:tcPr>
            <w:tcW w:type="dxa" w:w="4392"/>
            <w:shd w:val="clear" w:color="auto" w:fill="0E1E3C"/>
          </w:tcPr>
          <w:p>
            <w:r>
              <w:rPr>
                <w:b/>
                <w:color w:val="FFFFFF"/>
              </w:rPr>
              <w:t>Parámetro</w:t>
            </w:r>
          </w:p>
        </w:tc>
        <w:tc>
          <w:tcPr>
            <w:tcW w:type="dxa" w:w="4392"/>
            <w:shd w:val="clear" w:color="auto" w:fill="0E1E3C"/>
          </w:tcPr>
          <w:p>
            <w:r>
              <w:rPr>
                <w:b/>
                <w:color w:val="FFFFFF"/>
              </w:rPr>
              <w:t>Valor</w:t>
            </w:r>
          </w:p>
        </w:tc>
      </w:tr>
      <w:tr>
        <w:tc>
          <w:tcPr>
            <w:tcW w:type="dxa" w:w="4392"/>
          </w:tcPr>
          <w:p>
            <w:r>
              <w:t>Total de registros</w:t>
            </w:r>
          </w:p>
        </w:tc>
        <w:tc>
          <w:tcPr>
            <w:tcW w:type="dxa" w:w="4392"/>
          </w:tcPr>
          <w:p>
            <w:r>
              <w:t>1,585,040</w:t>
            </w:r>
          </w:p>
        </w:tc>
      </w:tr>
      <w:tr>
        <w:tc>
          <w:tcPr>
            <w:tcW w:type="dxa" w:w="4392"/>
          </w:tcPr>
          <w:p>
            <w:r>
              <w:t>Años cubiertos</w:t>
            </w:r>
          </w:p>
        </w:tc>
        <w:tc>
          <w:tcPr>
            <w:tcW w:type="dxa" w:w="4392"/>
          </w:tcPr>
          <w:p>
            <w:r>
              <w:t>2007–2024 (18 años)</w:t>
            </w:r>
          </w:p>
        </w:tc>
      </w:tr>
      <w:tr>
        <w:tc>
          <w:tcPr>
            <w:tcW w:type="dxa" w:w="4392"/>
          </w:tcPr>
          <w:p>
            <w:r>
              <w:t>Columnas por registro</w:t>
            </w:r>
          </w:p>
        </w:tc>
        <w:tc>
          <w:tcPr>
            <w:tcW w:type="dxa" w:w="4392"/>
          </w:tcPr>
          <w:p>
            <w:r>
              <w:t>69</w:t>
            </w:r>
          </w:p>
        </w:tc>
      </w:tr>
      <w:tr>
        <w:tc>
          <w:tcPr>
            <w:tcW w:type="dxa" w:w="4392"/>
          </w:tcPr>
          <w:p>
            <w:r>
              <w:t>Municipios con al menos 1 caso</w:t>
            </w:r>
          </w:p>
        </w:tc>
        <w:tc>
          <w:tcPr>
            <w:tcW w:type="dxa" w:w="4392"/>
          </w:tcPr>
          <w:p>
            <w:r>
              <w:t>1,093</w:t>
            </w:r>
          </w:p>
        </w:tc>
      </w:tr>
      <w:tr>
        <w:tc>
          <w:tcPr>
            <w:tcW w:type="dxa" w:w="4392"/>
          </w:tcPr>
          <w:p>
            <w:r>
              <w:t>Municipios endémicos (D4)</w:t>
            </w:r>
          </w:p>
        </w:tc>
        <w:tc>
          <w:tcPr>
            <w:tcW w:type="dxa" w:w="4392"/>
          </w:tcPr>
          <w:p>
            <w:r>
              <w:t>621</w:t>
            </w:r>
          </w:p>
        </w:tc>
      </w:tr>
      <w:tr>
        <w:tc>
          <w:tcPr>
            <w:tcW w:type="dxa" w:w="4392"/>
          </w:tcPr>
          <w:p>
            <w:r>
              <w:t>Años de epidemia mayor</w:t>
            </w:r>
          </w:p>
        </w:tc>
        <w:tc>
          <w:tcPr>
            <w:tcW w:type="dxa" w:w="4392"/>
          </w:tcPr>
          <w:p>
            <w:r>
              <w:t>2010, 2013, 2016, 2019, 2023, 2024</w:t>
            </w:r>
          </w:p>
        </w:tc>
      </w:tr>
      <w:tr>
        <w:tc>
          <w:tcPr>
            <w:tcW w:type="dxa" w:w="4392"/>
          </w:tcPr>
          <w:p>
            <w:r>
              <w:t>Período de referencia corredor endémico</w:t>
            </w:r>
          </w:p>
        </w:tc>
        <w:tc>
          <w:tcPr>
            <w:tcW w:type="dxa" w:w="4392"/>
          </w:tcPr>
          <w:p>
            <w:r>
              <w:t>2007–2022 (excluyendo epidémicos)</w:t>
            </w:r>
          </w:p>
        </w:tc>
      </w:tr>
    </w:tbl>
    <w:p/>
    <w:p>
      <w:pPr>
        <w:spacing w:after="120"/>
      </w:pPr>
      <w:r>
        <w:t>El dataset de dengue clásico contiene 1,585,040 notificaciones individuales distribuidas en 18 años (2007–2024). Cada fila corresponde a un caso notificado al sistema SIVIGILA con 69 variables clínicas, epidemiológicas y geográficas. La estructura es idéntica en todos los archivos anuales, lo que permite consolidarlos sin transformaciones adicionales.</w:t>
      </w:r>
    </w:p>
    <w:p>
      <w:pPr>
        <w:pStyle w:val="Heading2"/>
        <w:jc w:val="left"/>
      </w:pPr>
      <w:r>
        <w:t>2. Serie temporal por año</w:t>
      </w:r>
    </w:p>
    <w:p>
      <w:pPr>
        <w:spacing w:after="120"/>
      </w:pPr>
      <w:r>
        <w:t>Los años epidémicos (2010, 2013, 2016, 2019, 2023, 2024) concentran la mayor carga de casos. El año 2024 es el de mayor registro histórico con 309,627 notificaciones, más del doble que cualquier año no epidémico anterior.</w:t>
      </w:r>
    </w:p>
    <w:p>
      <w:r>
        <w:drawing>
          <wp:inline xmlns:a="http://schemas.openxmlformats.org/drawingml/2006/main" xmlns:pic="http://schemas.openxmlformats.org/drawingml/2006/picture">
            <wp:extent cx="5303520" cy="1631852"/>
            <wp:docPr id="1" name="Picture 1"/>
            <wp:cNvGraphicFramePr>
              <a:graphicFrameLocks noChangeAspect="1"/>
            </wp:cNvGraphicFramePr>
            <a:graphic>
              <a:graphicData uri="http://schemas.openxmlformats.org/drawingml/2006/picture">
                <pic:pic>
                  <pic:nvPicPr>
                    <pic:cNvPr id="0" name="01_clasico_por_ano.png"/>
                    <pic:cNvPicPr/>
                  </pic:nvPicPr>
                  <pic:blipFill>
                    <a:blip r:embed="rId9"/>
                    <a:stretch>
                      <a:fillRect/>
                    </a:stretch>
                  </pic:blipFill>
                  <pic:spPr>
                    <a:xfrm>
                      <a:off x="0" y="0"/>
                      <a:ext cx="5303520" cy="1631852"/>
                    </a:xfrm>
                    <a:prstGeom prst="rect"/>
                  </pic:spPr>
                </pic:pic>
              </a:graphicData>
            </a:graphic>
          </wp:inline>
        </w:drawing>
      </w:r>
    </w:p>
    <w:p>
      <w:pPr>
        <w:jc w:val="center"/>
      </w:pPr>
      <w:r>
        <w:rPr>
          <w:i/>
          <w:color w:val="5C6B84"/>
          <w:sz w:val="18"/>
        </w:rPr>
        <w:t>Figura 1. Casos de dengue clásico por año (2007–2024). En rojo: años epidémicos.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E1E3C"/>
          </w:tcPr>
          <w:p>
            <w:r>
              <w:rPr>
                <w:b/>
                <w:color w:val="FFFFFF"/>
              </w:rPr>
              <w:t>Año</w:t>
            </w:r>
          </w:p>
        </w:tc>
        <w:tc>
          <w:tcPr>
            <w:tcW w:type="dxa" w:w="2928"/>
            <w:shd w:val="clear" w:color="auto" w:fill="0E1E3C"/>
          </w:tcPr>
          <w:p>
            <w:r>
              <w:rPr>
                <w:b/>
                <w:color w:val="FFFFFF"/>
              </w:rPr>
              <w:t>Registros</w:t>
            </w:r>
          </w:p>
        </w:tc>
        <w:tc>
          <w:tcPr>
            <w:tcW w:type="dxa" w:w="2928"/>
            <w:shd w:val="clear" w:color="auto" w:fill="0E1E3C"/>
          </w:tcPr>
          <w:p>
            <w:r>
              <w:rPr>
                <w:b/>
                <w:color w:val="FFFFFF"/>
              </w:rPr>
              <w:t>Epidemia</w:t>
            </w:r>
          </w:p>
        </w:tc>
      </w:tr>
      <w:tr>
        <w:tc>
          <w:tcPr>
            <w:tcW w:type="dxa" w:w="2928"/>
          </w:tcPr>
          <w:p>
            <w:r>
              <w:t>2007</w:t>
            </w:r>
          </w:p>
        </w:tc>
        <w:tc>
          <w:tcPr>
            <w:tcW w:type="dxa" w:w="2928"/>
          </w:tcPr>
          <w:p>
            <w:r>
              <w:t>35,074</w:t>
            </w:r>
          </w:p>
        </w:tc>
        <w:tc>
          <w:tcPr>
            <w:tcW w:type="dxa" w:w="2928"/>
          </w:tcPr>
          <w:p>
            <w:r>
              <w:t>No</w:t>
            </w:r>
          </w:p>
        </w:tc>
      </w:tr>
      <w:tr>
        <w:tc>
          <w:tcPr>
            <w:tcW w:type="dxa" w:w="2928"/>
          </w:tcPr>
          <w:p>
            <w:r>
              <w:t>2008</w:t>
            </w:r>
          </w:p>
        </w:tc>
        <w:tc>
          <w:tcPr>
            <w:tcW w:type="dxa" w:w="2928"/>
          </w:tcPr>
          <w:p>
            <w:r>
              <w:t>32,793</w:t>
            </w:r>
          </w:p>
        </w:tc>
        <w:tc>
          <w:tcPr>
            <w:tcW w:type="dxa" w:w="2928"/>
          </w:tcPr>
          <w:p>
            <w:r>
              <w:t>No</w:t>
            </w:r>
          </w:p>
        </w:tc>
      </w:tr>
      <w:tr>
        <w:tc>
          <w:tcPr>
            <w:tcW w:type="dxa" w:w="2928"/>
          </w:tcPr>
          <w:p>
            <w:r>
              <w:t>2009</w:t>
            </w:r>
          </w:p>
        </w:tc>
        <w:tc>
          <w:tcPr>
            <w:tcW w:type="dxa" w:w="2928"/>
          </w:tcPr>
          <w:p>
            <w:r>
              <w:t>45,345</w:t>
            </w:r>
          </w:p>
        </w:tc>
        <w:tc>
          <w:tcPr>
            <w:tcW w:type="dxa" w:w="2928"/>
          </w:tcPr>
          <w:p>
            <w:r>
              <w:t>No</w:t>
            </w:r>
          </w:p>
        </w:tc>
      </w:tr>
      <w:tr>
        <w:tc>
          <w:tcPr>
            <w:tcW w:type="dxa" w:w="2928"/>
          </w:tcPr>
          <w:p>
            <w:r>
              <w:t>2010</w:t>
            </w:r>
          </w:p>
        </w:tc>
        <w:tc>
          <w:tcPr>
            <w:tcW w:type="dxa" w:w="2928"/>
          </w:tcPr>
          <w:p>
            <w:r>
              <w:t>147,224</w:t>
            </w:r>
          </w:p>
        </w:tc>
        <w:tc>
          <w:tcPr>
            <w:tcW w:type="dxa" w:w="2928"/>
          </w:tcPr>
          <w:p>
            <w:r>
              <w:t>Si</w:t>
            </w:r>
          </w:p>
        </w:tc>
      </w:tr>
      <w:tr>
        <w:tc>
          <w:tcPr>
            <w:tcW w:type="dxa" w:w="2928"/>
          </w:tcPr>
          <w:p>
            <w:r>
              <w:t>2011</w:t>
            </w:r>
          </w:p>
        </w:tc>
        <w:tc>
          <w:tcPr>
            <w:tcW w:type="dxa" w:w="2928"/>
          </w:tcPr>
          <w:p>
            <w:r>
              <w:t>29,386</w:t>
            </w:r>
          </w:p>
        </w:tc>
        <w:tc>
          <w:tcPr>
            <w:tcW w:type="dxa" w:w="2928"/>
          </w:tcPr>
          <w:p>
            <w:r>
              <w:t>No</w:t>
            </w:r>
          </w:p>
        </w:tc>
      </w:tr>
      <w:tr>
        <w:tc>
          <w:tcPr>
            <w:tcW w:type="dxa" w:w="2928"/>
          </w:tcPr>
          <w:p>
            <w:r>
              <w:t>2012</w:t>
            </w:r>
          </w:p>
        </w:tc>
        <w:tc>
          <w:tcPr>
            <w:tcW w:type="dxa" w:w="2928"/>
          </w:tcPr>
          <w:p>
            <w:r>
              <w:t>52,467</w:t>
            </w:r>
          </w:p>
        </w:tc>
        <w:tc>
          <w:tcPr>
            <w:tcW w:type="dxa" w:w="2928"/>
          </w:tcPr>
          <w:p>
            <w:r>
              <w:t>No</w:t>
            </w:r>
          </w:p>
        </w:tc>
      </w:tr>
      <w:tr>
        <w:tc>
          <w:tcPr>
            <w:tcW w:type="dxa" w:w="2928"/>
          </w:tcPr>
          <w:p>
            <w:r>
              <w:t>2013</w:t>
            </w:r>
          </w:p>
        </w:tc>
        <w:tc>
          <w:tcPr>
            <w:tcW w:type="dxa" w:w="2928"/>
          </w:tcPr>
          <w:p>
            <w:r>
              <w:t>122,441</w:t>
            </w:r>
          </w:p>
        </w:tc>
        <w:tc>
          <w:tcPr>
            <w:tcW w:type="dxa" w:w="2928"/>
          </w:tcPr>
          <w:p>
            <w:r>
              <w:t>Si</w:t>
            </w:r>
          </w:p>
        </w:tc>
      </w:tr>
      <w:tr>
        <w:tc>
          <w:tcPr>
            <w:tcW w:type="dxa" w:w="2928"/>
          </w:tcPr>
          <w:p>
            <w:r>
              <w:t>2014</w:t>
            </w:r>
          </w:p>
        </w:tc>
        <w:tc>
          <w:tcPr>
            <w:tcW w:type="dxa" w:w="2928"/>
          </w:tcPr>
          <w:p>
            <w:r>
              <w:t>105,356</w:t>
            </w:r>
          </w:p>
        </w:tc>
        <w:tc>
          <w:tcPr>
            <w:tcW w:type="dxa" w:w="2928"/>
          </w:tcPr>
          <w:p>
            <w:r>
              <w:t>No</w:t>
            </w:r>
          </w:p>
        </w:tc>
      </w:tr>
      <w:tr>
        <w:tc>
          <w:tcPr>
            <w:tcW w:type="dxa" w:w="2928"/>
          </w:tcPr>
          <w:p>
            <w:r>
              <w:t>2015</w:t>
            </w:r>
          </w:p>
        </w:tc>
        <w:tc>
          <w:tcPr>
            <w:tcW w:type="dxa" w:w="2928"/>
          </w:tcPr>
          <w:p>
            <w:r>
              <w:t>95,023</w:t>
            </w:r>
          </w:p>
        </w:tc>
        <w:tc>
          <w:tcPr>
            <w:tcW w:type="dxa" w:w="2928"/>
          </w:tcPr>
          <w:p>
            <w:r>
              <w:t>No</w:t>
            </w:r>
          </w:p>
        </w:tc>
      </w:tr>
      <w:tr>
        <w:tc>
          <w:tcPr>
            <w:tcW w:type="dxa" w:w="2928"/>
          </w:tcPr>
          <w:p>
            <w:r>
              <w:t>2016</w:t>
            </w:r>
          </w:p>
        </w:tc>
        <w:tc>
          <w:tcPr>
            <w:tcW w:type="dxa" w:w="2928"/>
          </w:tcPr>
          <w:p>
            <w:r>
              <w:t>100,117</w:t>
            </w:r>
          </w:p>
        </w:tc>
        <w:tc>
          <w:tcPr>
            <w:tcW w:type="dxa" w:w="2928"/>
          </w:tcPr>
          <w:p>
            <w:r>
              <w:t>Si</w:t>
            </w:r>
          </w:p>
        </w:tc>
      </w:tr>
      <w:tr>
        <w:tc>
          <w:tcPr>
            <w:tcW w:type="dxa" w:w="2928"/>
          </w:tcPr>
          <w:p>
            <w:r>
              <w:t>2017</w:t>
            </w:r>
          </w:p>
        </w:tc>
        <w:tc>
          <w:tcPr>
            <w:tcW w:type="dxa" w:w="2928"/>
          </w:tcPr>
          <w:p>
            <w:r>
              <w:t>25,048</w:t>
            </w:r>
          </w:p>
        </w:tc>
        <w:tc>
          <w:tcPr>
            <w:tcW w:type="dxa" w:w="2928"/>
          </w:tcPr>
          <w:p>
            <w:r>
              <w:t>No</w:t>
            </w:r>
          </w:p>
        </w:tc>
      </w:tr>
      <w:tr>
        <w:tc>
          <w:tcPr>
            <w:tcW w:type="dxa" w:w="2928"/>
          </w:tcPr>
          <w:p>
            <w:r>
              <w:t>2018</w:t>
            </w:r>
          </w:p>
        </w:tc>
        <w:tc>
          <w:tcPr>
            <w:tcW w:type="dxa" w:w="2928"/>
          </w:tcPr>
          <w:p>
            <w:r>
              <w:t>43,652</w:t>
            </w:r>
          </w:p>
        </w:tc>
        <w:tc>
          <w:tcPr>
            <w:tcW w:type="dxa" w:w="2928"/>
          </w:tcPr>
          <w:p>
            <w:r>
              <w:t>No</w:t>
            </w:r>
          </w:p>
        </w:tc>
      </w:tr>
      <w:tr>
        <w:tc>
          <w:tcPr>
            <w:tcW w:type="dxa" w:w="2928"/>
          </w:tcPr>
          <w:p>
            <w:r>
              <w:t>2019</w:t>
            </w:r>
          </w:p>
        </w:tc>
        <w:tc>
          <w:tcPr>
            <w:tcW w:type="dxa" w:w="2928"/>
          </w:tcPr>
          <w:p>
            <w:r>
              <w:t>123,641</w:t>
            </w:r>
          </w:p>
        </w:tc>
        <w:tc>
          <w:tcPr>
            <w:tcW w:type="dxa" w:w="2928"/>
          </w:tcPr>
          <w:p>
            <w:r>
              <w:t>Si</w:t>
            </w:r>
          </w:p>
        </w:tc>
      </w:tr>
      <w:tr>
        <w:tc>
          <w:tcPr>
            <w:tcW w:type="dxa" w:w="2928"/>
          </w:tcPr>
          <w:p>
            <w:r>
              <w:t>2020</w:t>
            </w:r>
          </w:p>
        </w:tc>
        <w:tc>
          <w:tcPr>
            <w:tcW w:type="dxa" w:w="2928"/>
          </w:tcPr>
          <w:p>
            <w:r>
              <w:t>76,419</w:t>
            </w:r>
          </w:p>
        </w:tc>
        <w:tc>
          <w:tcPr>
            <w:tcW w:type="dxa" w:w="2928"/>
          </w:tcPr>
          <w:p>
            <w:r>
              <w:t>No</w:t>
            </w:r>
          </w:p>
        </w:tc>
      </w:tr>
      <w:tr>
        <w:tc>
          <w:tcPr>
            <w:tcW w:type="dxa" w:w="2928"/>
          </w:tcPr>
          <w:p>
            <w:r>
              <w:t>2021</w:t>
            </w:r>
          </w:p>
        </w:tc>
        <w:tc>
          <w:tcPr>
            <w:tcW w:type="dxa" w:w="2928"/>
          </w:tcPr>
          <w:p>
            <w:r>
              <w:t>49,325</w:t>
            </w:r>
          </w:p>
        </w:tc>
        <w:tc>
          <w:tcPr>
            <w:tcW w:type="dxa" w:w="2928"/>
          </w:tcPr>
          <w:p>
            <w:r>
              <w:t>No</w:t>
            </w:r>
          </w:p>
        </w:tc>
      </w:tr>
      <w:tr>
        <w:tc>
          <w:tcPr>
            <w:tcW w:type="dxa" w:w="2928"/>
          </w:tcPr>
          <w:p>
            <w:r>
              <w:t>2022</w:t>
            </w:r>
          </w:p>
        </w:tc>
        <w:tc>
          <w:tcPr>
            <w:tcW w:type="dxa" w:w="2928"/>
          </w:tcPr>
          <w:p>
            <w:r>
              <w:t>65,691</w:t>
            </w:r>
          </w:p>
        </w:tc>
        <w:tc>
          <w:tcPr>
            <w:tcW w:type="dxa" w:w="2928"/>
          </w:tcPr>
          <w:p>
            <w:r>
              <w:t>No</w:t>
            </w:r>
          </w:p>
        </w:tc>
      </w:tr>
      <w:tr>
        <w:tc>
          <w:tcPr>
            <w:tcW w:type="dxa" w:w="2928"/>
          </w:tcPr>
          <w:p>
            <w:r>
              <w:t>2023</w:t>
            </w:r>
          </w:p>
        </w:tc>
        <w:tc>
          <w:tcPr>
            <w:tcW w:type="dxa" w:w="2928"/>
          </w:tcPr>
          <w:p>
            <w:r>
              <w:t>126,411</w:t>
            </w:r>
          </w:p>
        </w:tc>
        <w:tc>
          <w:tcPr>
            <w:tcW w:type="dxa" w:w="2928"/>
          </w:tcPr>
          <w:p>
            <w:r>
              <w:t>Si</w:t>
            </w:r>
          </w:p>
        </w:tc>
      </w:tr>
      <w:tr>
        <w:tc>
          <w:tcPr>
            <w:tcW w:type="dxa" w:w="2928"/>
          </w:tcPr>
          <w:p>
            <w:r>
              <w:t>2024</w:t>
            </w:r>
          </w:p>
        </w:tc>
        <w:tc>
          <w:tcPr>
            <w:tcW w:type="dxa" w:w="2928"/>
          </w:tcPr>
          <w:p>
            <w:r>
              <w:t>309,627</w:t>
            </w:r>
          </w:p>
        </w:tc>
        <w:tc>
          <w:tcPr>
            <w:tcW w:type="dxa" w:w="2928"/>
          </w:tcPr>
          <w:p>
            <w:r>
              <w:t>Si</w:t>
            </w:r>
          </w:p>
        </w:tc>
      </w:tr>
    </w:tbl>
    <w:p/>
    <w:p>
      <w:pPr>
        <w:pStyle w:val="Heading2"/>
        <w:jc w:val="left"/>
      </w:pPr>
      <w:r>
        <w:t>3. Corredor endémico nacional</w:t>
      </w:r>
    </w:p>
    <w:p>
      <w:pPr>
        <w:spacing w:after="120"/>
      </w:pPr>
      <w:r>
        <w:t>El corredor endémico se construye sobre el período de referencia 2007–2022, excluyendo los años de epidemia mayor. Para cada semana epidemiológica se calculan los percentiles P25 (zona de éxito), P50 (mediana, zona endémica) y P75 (umbral de alerta/epidemia), siguiendo la metodología de Bortman (1999) adoptada por el INS Colombia.</w:t>
      </w:r>
    </w:p>
    <w:p>
      <w:r>
        <w:drawing>
          <wp:inline xmlns:a="http://schemas.openxmlformats.org/drawingml/2006/main" xmlns:pic="http://schemas.openxmlformats.org/drawingml/2006/picture">
            <wp:extent cx="5303520" cy="2039815"/>
            <wp:docPr id="2" name="Picture 2"/>
            <wp:cNvGraphicFramePr>
              <a:graphicFrameLocks noChangeAspect="1"/>
            </wp:cNvGraphicFramePr>
            <a:graphic>
              <a:graphicData uri="http://schemas.openxmlformats.org/drawingml/2006/picture">
                <pic:pic>
                  <pic:nvPicPr>
                    <pic:cNvPr id="0" name="02_corredor_endemico_nacional.png"/>
                    <pic:cNvPicPr/>
                  </pic:nvPicPr>
                  <pic:blipFill>
                    <a:blip r:embed="rId10"/>
                    <a:stretch>
                      <a:fillRect/>
                    </a:stretch>
                  </pic:blipFill>
                  <pic:spPr>
                    <a:xfrm>
                      <a:off x="0" y="0"/>
                      <a:ext cx="5303520" cy="2039815"/>
                    </a:xfrm>
                    <a:prstGeom prst="rect"/>
                  </pic:spPr>
                </pic:pic>
              </a:graphicData>
            </a:graphic>
          </wp:inline>
        </w:drawing>
      </w:r>
    </w:p>
    <w:p>
      <w:pPr>
        <w:jc w:val="center"/>
      </w:pPr>
      <w:r>
        <w:rPr>
          <w:i/>
          <w:color w:val="5C6B84"/>
          <w:sz w:val="18"/>
        </w:rPr>
        <w:t>Figura 2. Corredor endémico nacional. La línea roja discontinua (P75) es el umbral de alerta epidémica.</w:t>
      </w:r>
    </w:p>
    <w:p>
      <w:pPr>
        <w:pStyle w:val="Heading2"/>
        <w:jc w:val="left"/>
      </w:pPr>
      <w:r>
        <w:t>4. Distribución geográfica</w:t>
      </w:r>
    </w:p>
    <w:p>
      <w:pPr>
        <w:spacing w:after="120"/>
      </w:pPr>
      <w:r>
        <w:t>Se identificaron 1,093 municipios con al menos un caso notificado en el período. Aplicando el criterio D4 del proyecto (≥10 años con casos y ≥200 casos acumulados), 621 municipios califican como endémicos y conforman el universo del modelo predictivo.</w:t>
      </w:r>
    </w:p>
    <w:p>
      <w:pPr>
        <w:spacing w:after="120"/>
      </w:pPr>
      <w:r>
        <w:t>Top 10 municipios por total de casos (2007–2024):</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E1E3C"/>
          </w:tcPr>
          <w:p>
            <w:r>
              <w:rPr>
                <w:b/>
                <w:color w:val="FFFFFF"/>
              </w:rPr>
              <w:t>Municipio</w:t>
            </w:r>
          </w:p>
        </w:tc>
        <w:tc>
          <w:tcPr>
            <w:tcW w:type="dxa" w:w="2928"/>
            <w:shd w:val="clear" w:color="auto" w:fill="0E1E3C"/>
          </w:tcPr>
          <w:p>
            <w:r>
              <w:rPr>
                <w:b/>
                <w:color w:val="FFFFFF"/>
              </w:rPr>
              <w:t>Departamento</w:t>
            </w:r>
          </w:p>
        </w:tc>
        <w:tc>
          <w:tcPr>
            <w:tcW w:type="dxa" w:w="2928"/>
            <w:shd w:val="clear" w:color="auto" w:fill="0E1E3C"/>
          </w:tcPr>
          <w:p>
            <w:r>
              <w:rPr>
                <w:b/>
                <w:color w:val="FFFFFF"/>
              </w:rPr>
              <w:t>Casos</w:t>
            </w:r>
          </w:p>
        </w:tc>
      </w:tr>
      <w:tr>
        <w:tc>
          <w:tcPr>
            <w:tcW w:type="dxa" w:w="2928"/>
          </w:tcPr>
          <w:p>
            <w:r>
              <w:t>CALI</w:t>
            </w:r>
          </w:p>
        </w:tc>
        <w:tc>
          <w:tcPr>
            <w:tcW w:type="dxa" w:w="2928"/>
          </w:tcPr>
          <w:p>
            <w:r>
              <w:t>VALLE</w:t>
            </w:r>
          </w:p>
        </w:tc>
        <w:tc>
          <w:tcPr>
            <w:tcW w:type="dxa" w:w="2928"/>
          </w:tcPr>
          <w:p>
            <w:r>
              <w:t>157,649</w:t>
            </w:r>
          </w:p>
        </w:tc>
      </w:tr>
      <w:tr>
        <w:tc>
          <w:tcPr>
            <w:tcW w:type="dxa" w:w="2928"/>
          </w:tcPr>
          <w:p>
            <w:r>
              <w:t>IBAGUE</w:t>
            </w:r>
          </w:p>
        </w:tc>
        <w:tc>
          <w:tcPr>
            <w:tcW w:type="dxa" w:w="2928"/>
          </w:tcPr>
          <w:p>
            <w:r>
              <w:t>TOLIMA</w:t>
            </w:r>
          </w:p>
        </w:tc>
        <w:tc>
          <w:tcPr>
            <w:tcW w:type="dxa" w:w="2928"/>
          </w:tcPr>
          <w:p>
            <w:r>
              <w:t>55,884</w:t>
            </w:r>
          </w:p>
        </w:tc>
      </w:tr>
      <w:tr>
        <w:tc>
          <w:tcPr>
            <w:tcW w:type="dxa" w:w="2928"/>
          </w:tcPr>
          <w:p>
            <w:r>
              <w:t>MEDELLIN</w:t>
            </w:r>
          </w:p>
        </w:tc>
        <w:tc>
          <w:tcPr>
            <w:tcW w:type="dxa" w:w="2928"/>
          </w:tcPr>
          <w:p>
            <w:r>
              <w:t>ANTIOQUIA</w:t>
            </w:r>
          </w:p>
        </w:tc>
        <w:tc>
          <w:tcPr>
            <w:tcW w:type="dxa" w:w="2928"/>
          </w:tcPr>
          <w:p>
            <w:r>
              <w:t>55,646</w:t>
            </w:r>
          </w:p>
        </w:tc>
      </w:tr>
      <w:tr>
        <w:tc>
          <w:tcPr>
            <w:tcW w:type="dxa" w:w="2928"/>
          </w:tcPr>
          <w:p>
            <w:r>
              <w:t>BUCARAMANGA</w:t>
            </w:r>
          </w:p>
        </w:tc>
        <w:tc>
          <w:tcPr>
            <w:tcW w:type="dxa" w:w="2928"/>
          </w:tcPr>
          <w:p>
            <w:r>
              <w:t>SANTANDER</w:t>
            </w:r>
          </w:p>
        </w:tc>
        <w:tc>
          <w:tcPr>
            <w:tcW w:type="dxa" w:w="2928"/>
          </w:tcPr>
          <w:p>
            <w:r>
              <w:t>51,255</w:t>
            </w:r>
          </w:p>
        </w:tc>
      </w:tr>
      <w:tr>
        <w:tc>
          <w:tcPr>
            <w:tcW w:type="dxa" w:w="2928"/>
          </w:tcPr>
          <w:p>
            <w:r>
              <w:t>VILLAVICENCIO</w:t>
            </w:r>
          </w:p>
        </w:tc>
        <w:tc>
          <w:tcPr>
            <w:tcW w:type="dxa" w:w="2928"/>
          </w:tcPr>
          <w:p>
            <w:r>
              <w:t>META</w:t>
            </w:r>
          </w:p>
        </w:tc>
        <w:tc>
          <w:tcPr>
            <w:tcW w:type="dxa" w:w="2928"/>
          </w:tcPr>
          <w:p>
            <w:r>
              <w:t>47,916</w:t>
            </w:r>
          </w:p>
        </w:tc>
      </w:tr>
      <w:tr>
        <w:tc>
          <w:tcPr>
            <w:tcW w:type="dxa" w:w="2928"/>
          </w:tcPr>
          <w:p>
            <w:r>
              <w:t>CUCUTA</w:t>
            </w:r>
          </w:p>
        </w:tc>
        <w:tc>
          <w:tcPr>
            <w:tcW w:type="dxa" w:w="2928"/>
          </w:tcPr>
          <w:p>
            <w:r>
              <w:t>NORTE SANTANDER</w:t>
            </w:r>
          </w:p>
        </w:tc>
        <w:tc>
          <w:tcPr>
            <w:tcW w:type="dxa" w:w="2928"/>
          </w:tcPr>
          <w:p>
            <w:r>
              <w:t>44,967</w:t>
            </w:r>
          </w:p>
        </w:tc>
      </w:tr>
      <w:tr>
        <w:tc>
          <w:tcPr>
            <w:tcW w:type="dxa" w:w="2928"/>
          </w:tcPr>
          <w:p>
            <w:r>
              <w:t>BARRANQUILLA</w:t>
            </w:r>
          </w:p>
        </w:tc>
        <w:tc>
          <w:tcPr>
            <w:tcW w:type="dxa" w:w="2928"/>
          </w:tcPr>
          <w:p>
            <w:r>
              <w:t>ATLANTICO</w:t>
            </w:r>
          </w:p>
        </w:tc>
        <w:tc>
          <w:tcPr>
            <w:tcW w:type="dxa" w:w="2928"/>
          </w:tcPr>
          <w:p>
            <w:r>
              <w:t>43,921</w:t>
            </w:r>
          </w:p>
        </w:tc>
      </w:tr>
      <w:tr>
        <w:tc>
          <w:tcPr>
            <w:tcW w:type="dxa" w:w="2928"/>
          </w:tcPr>
          <w:p>
            <w:r>
              <w:t>NEIVA</w:t>
            </w:r>
          </w:p>
        </w:tc>
        <w:tc>
          <w:tcPr>
            <w:tcW w:type="dxa" w:w="2928"/>
          </w:tcPr>
          <w:p>
            <w:r>
              <w:t>HUILA</w:t>
            </w:r>
          </w:p>
        </w:tc>
        <w:tc>
          <w:tcPr>
            <w:tcW w:type="dxa" w:w="2928"/>
          </w:tcPr>
          <w:p>
            <w:r>
              <w:t>34,993</w:t>
            </w:r>
          </w:p>
        </w:tc>
      </w:tr>
      <w:tr>
        <w:tc>
          <w:tcPr>
            <w:tcW w:type="dxa" w:w="2928"/>
          </w:tcPr>
          <w:p>
            <w:r>
              <w:t>CARTAGENA</w:t>
            </w:r>
          </w:p>
        </w:tc>
        <w:tc>
          <w:tcPr>
            <w:tcW w:type="dxa" w:w="2928"/>
          </w:tcPr>
          <w:p>
            <w:r>
              <w:t>BOLIVAR</w:t>
            </w:r>
          </w:p>
        </w:tc>
        <w:tc>
          <w:tcPr>
            <w:tcW w:type="dxa" w:w="2928"/>
          </w:tcPr>
          <w:p>
            <w:r>
              <w:t>28,403</w:t>
            </w:r>
          </w:p>
        </w:tc>
      </w:tr>
      <w:tr>
        <w:tc>
          <w:tcPr>
            <w:tcW w:type="dxa" w:w="2928"/>
          </w:tcPr>
          <w:p>
            <w:r>
              <w:t>FLORIDABLANCA</w:t>
            </w:r>
          </w:p>
        </w:tc>
        <w:tc>
          <w:tcPr>
            <w:tcW w:type="dxa" w:w="2928"/>
          </w:tcPr>
          <w:p>
            <w:r>
              <w:t>SANTANDER</w:t>
            </w:r>
          </w:p>
        </w:tc>
        <w:tc>
          <w:tcPr>
            <w:tcW w:type="dxa" w:w="2928"/>
          </w:tcPr>
          <w:p>
            <w:r>
              <w:t>28,253</w:t>
            </w:r>
          </w:p>
        </w:tc>
      </w:tr>
    </w:tbl>
    <w:p/>
    <w:p>
      <w:pPr>
        <w:pStyle w:val="Heading2"/>
        <w:jc w:val="left"/>
      </w:pPr>
      <w:r>
        <w:t>5. Calidad de los datos</w:t>
      </w:r>
    </w:p>
    <w:p>
      <w:pPr>
        <w:spacing w:after="120"/>
      </w:pPr>
      <w:r>
        <w:t>Los 18 archivos anuales comparten exactamente las mismas 69 columnas sin diferencias estructurales. No se detectaron registros duplicados por CONSECUTIVE entre el dataset de dengue clásico y el de dengue grave. Las variables con mayor porcentaje de valores nulos corresponden a campos de seguimiento clínico que no siempre se diligencian en la notificación inicial (p. ej., condición final, fecha de hospitalización).</w:t>
      </w:r>
    </w:p>
    <w:p>
      <w:pPr>
        <w:pStyle w:val="Heading2"/>
        <w:jc w:val="left"/>
      </w:pPr>
      <w:r>
        <w:t>6. Conclusiones para el modelado</w:t>
      </w:r>
    </w:p>
    <w:p>
      <w:pPr>
        <w:spacing w:after="120"/>
      </w:pPr>
      <w:r>
        <w:t>El dataset es suficientemente amplio (1,585,040 registros) y consistente para construir modelos de predicción. Los 621 municipios endémicos identificados tienen series históricas de al menos 10 años, lo que garantiza corredores endémicos estadísticamente robustos. El horizonte de pronóstico de 4 a 8 semanas es viable dado el patrón estacional observado en la semana epidemiológica, con picos consistentes en las semanas 5–12 y 35–45.</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