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Exploración de Datos — Dengue Grave (COD_EVE 220)</w:t>
      </w:r>
    </w:p>
    <w:p>
      <w:pPr>
        <w:spacing w:after="120"/>
      </w:pPr>
      <w:r>
        <w:t>Sistema de Alerta Temprana de Dengue · Grupo 11 · MAIA PDS · Universidad de los Andes</w:t>
      </w:r>
    </w:p>
    <w:p>
      <w:pPr>
        <w:spacing w:after="120"/>
      </w:pPr>
      <w:r>
        <w:t>Fuente: SIVIGILA / INS · Período: 2007–2024 · Evento 220 (dengue grave)</w:t>
      </w:r>
    </w:p>
    <w:p/>
    <w:p>
      <w:pPr>
        <w:pStyle w:val="Heading2"/>
        <w:jc w:val="left"/>
      </w:pPr>
      <w:r>
        <w:t>1. Resumen general</w:t>
      </w:r>
    </w:p>
    <w:tbl>
      <w:tblPr>
        <w:tblStyle w:val="TableGrid"/>
        <w:tblW w:type="auto" w:w="0"/>
        <w:tblLook w:firstColumn="1" w:firstRow="1" w:lastColumn="0" w:lastRow="0" w:noHBand="0" w:noVBand="1" w:val="04A0"/>
      </w:tblPr>
      <w:tblGrid>
        <w:gridCol w:w="4392"/>
        <w:gridCol w:w="4392"/>
      </w:tblGrid>
      <w:tr>
        <w:tc>
          <w:tcPr>
            <w:tcW w:type="dxa" w:w="4392"/>
            <w:shd w:val="clear" w:color="auto" w:fill="0E1E3C"/>
          </w:tcPr>
          <w:p>
            <w:r>
              <w:rPr>
                <w:b/>
                <w:color w:val="FFFFFF"/>
              </w:rPr>
              <w:t>Parámetro</w:t>
            </w:r>
          </w:p>
        </w:tc>
        <w:tc>
          <w:tcPr>
            <w:tcW w:type="dxa" w:w="4392"/>
            <w:shd w:val="clear" w:color="auto" w:fill="0E1E3C"/>
          </w:tcPr>
          <w:p>
            <w:r>
              <w:rPr>
                <w:b/>
                <w:color w:val="FFFFFF"/>
              </w:rPr>
              <w:t>Valor</w:t>
            </w:r>
          </w:p>
        </w:tc>
      </w:tr>
      <w:tr>
        <w:tc>
          <w:tcPr>
            <w:tcW w:type="dxa" w:w="4392"/>
          </w:tcPr>
          <w:p>
            <w:r>
              <w:t>Total de registros</w:t>
            </w:r>
          </w:p>
        </w:tc>
        <w:tc>
          <w:tcPr>
            <w:tcW w:type="dxa" w:w="4392"/>
          </w:tcPr>
          <w:p>
            <w:r>
              <w:t>48,823</w:t>
            </w:r>
          </w:p>
        </w:tc>
      </w:tr>
      <w:tr>
        <w:tc>
          <w:tcPr>
            <w:tcW w:type="dxa" w:w="4392"/>
          </w:tcPr>
          <w:p>
            <w:r>
              <w:t>Años cubiertos</w:t>
            </w:r>
          </w:p>
        </w:tc>
        <w:tc>
          <w:tcPr>
            <w:tcW w:type="dxa" w:w="4392"/>
          </w:tcPr>
          <w:p>
            <w:r>
              <w:t>2007–2024 (18 años)</w:t>
            </w:r>
          </w:p>
        </w:tc>
      </w:tr>
      <w:tr>
        <w:tc>
          <w:tcPr>
            <w:tcW w:type="dxa" w:w="4392"/>
          </w:tcPr>
          <w:p>
            <w:r>
              <w:t>Columnas por registro</w:t>
            </w:r>
          </w:p>
        </w:tc>
        <w:tc>
          <w:tcPr>
            <w:tcW w:type="dxa" w:w="4392"/>
          </w:tcPr>
          <w:p>
            <w:r>
              <w:t>69</w:t>
            </w:r>
          </w:p>
        </w:tc>
      </w:tr>
      <w:tr>
        <w:tc>
          <w:tcPr>
            <w:tcW w:type="dxa" w:w="4392"/>
          </w:tcPr>
          <w:p>
            <w:r>
              <w:t>Municipios con al menos 1 caso grave</w:t>
            </w:r>
          </w:p>
        </w:tc>
        <w:tc>
          <w:tcPr>
            <w:tcW w:type="dxa" w:w="4392"/>
          </w:tcPr>
          <w:p>
            <w:r>
              <w:t>830</w:t>
            </w:r>
          </w:p>
        </w:tc>
      </w:tr>
      <w:tr>
        <w:tc>
          <w:tcPr>
            <w:tcW w:type="dxa" w:w="4392"/>
          </w:tcPr>
          <w:p>
            <w:r>
              <w:t>Tasa de gravedad promedio (grave/clasico)</w:t>
            </w:r>
          </w:p>
        </w:tc>
        <w:tc>
          <w:tcPr>
            <w:tcW w:type="dxa" w:w="4392"/>
          </w:tcPr>
          <w:p>
            <w:r>
              <w:t>3.08%</w:t>
            </w:r>
          </w:p>
        </w:tc>
      </w:tr>
      <w:tr>
        <w:tc>
          <w:tcPr>
            <w:tcW w:type="dxa" w:w="4392"/>
          </w:tcPr>
          <w:p>
            <w:r>
              <w:t>Relación con dataset clásico</w:t>
            </w:r>
          </w:p>
        </w:tc>
        <w:tc>
          <w:tcPr>
            <w:tcW w:type="dxa" w:w="4392"/>
          </w:tcPr>
          <w:p>
            <w:r>
              <w:t>Independiente — 0 CONSECUTIVE duplicados</w:t>
            </w:r>
          </w:p>
        </w:tc>
      </w:tr>
    </w:tbl>
    <w:p/>
    <w:p>
      <w:pPr>
        <w:spacing w:after="120"/>
      </w:pPr>
      <w:r>
        <w:t>El dataset de dengue grave contiene 48,823 notificaciones individuales de casos que cumplen los criterios clínicos de gravedad (dengue con signos de alarma severos, choque, afectación orgánica grave). Comparte las mismas 69 columnas que el dataset de dengue clásico y no presenta registros duplicados entre ambos conjuntos, confirmando que son notificaciones independientes bajo códigos de evento distintos.</w:t>
      </w:r>
    </w:p>
    <w:p>
      <w:pPr>
        <w:pStyle w:val="Heading2"/>
        <w:jc w:val="left"/>
      </w:pPr>
      <w:r>
        <w:t>2. Serie temporal por año</w:t>
      </w:r>
    </w:p>
    <w:p>
      <w:pPr>
        <w:spacing w:after="120"/>
      </w:pPr>
      <w:r>
        <w:t>Los años epidémicos concentran también los picos de dengue grave, con 2010 como el año de mayor carga histórica (9,753 casos). A partir de 2011 se observa una reducción sostenida, posiblemente asociada a mejoras en el protocolo de atención temprana y la reclasificación clínica de casos.</w:t>
      </w:r>
    </w:p>
    <w:p>
      <w:r>
        <w:drawing>
          <wp:inline xmlns:a="http://schemas.openxmlformats.org/drawingml/2006/main" xmlns:pic="http://schemas.openxmlformats.org/drawingml/2006/picture">
            <wp:extent cx="5303520" cy="1631852"/>
            <wp:docPr id="1" name="Picture 1"/>
            <wp:cNvGraphicFramePr>
              <a:graphicFrameLocks noChangeAspect="1"/>
            </wp:cNvGraphicFramePr>
            <a:graphic>
              <a:graphicData uri="http://schemas.openxmlformats.org/drawingml/2006/picture">
                <pic:pic>
                  <pic:nvPicPr>
                    <pic:cNvPr id="0" name="03_grave_por_ano.png"/>
                    <pic:cNvPicPr/>
                  </pic:nvPicPr>
                  <pic:blipFill>
                    <a:blip r:embed="rId9"/>
                    <a:stretch>
                      <a:fillRect/>
                    </a:stretch>
                  </pic:blipFill>
                  <pic:spPr>
                    <a:xfrm>
                      <a:off x="0" y="0"/>
                      <a:ext cx="5303520" cy="1631852"/>
                    </a:xfrm>
                    <a:prstGeom prst="rect"/>
                  </pic:spPr>
                </pic:pic>
              </a:graphicData>
            </a:graphic>
          </wp:inline>
        </w:drawing>
      </w:r>
    </w:p>
    <w:p>
      <w:pPr>
        <w:jc w:val="center"/>
      </w:pPr>
      <w:r>
        <w:rPr>
          <w:i/>
          <w:color w:val="5C6B84"/>
          <w:sz w:val="18"/>
        </w:rPr>
        <w:t>Figura 3. Casos de dengue grave por año (2007–2024). En rojo: años epidémicos.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E1E3C"/>
          </w:tcPr>
          <w:p>
            <w:r>
              <w:rPr>
                <w:b/>
                <w:color w:val="FFFFFF"/>
              </w:rPr>
              <w:t>Año</w:t>
            </w:r>
          </w:p>
        </w:tc>
        <w:tc>
          <w:tcPr>
            <w:tcW w:type="dxa" w:w="2928"/>
            <w:shd w:val="clear" w:color="auto" w:fill="0E1E3C"/>
          </w:tcPr>
          <w:p>
            <w:r>
              <w:rPr>
                <w:b/>
                <w:color w:val="FFFFFF"/>
              </w:rPr>
              <w:t>Registros</w:t>
            </w:r>
          </w:p>
        </w:tc>
        <w:tc>
          <w:tcPr>
            <w:tcW w:type="dxa" w:w="2928"/>
            <w:shd w:val="clear" w:color="auto" w:fill="0E1E3C"/>
          </w:tcPr>
          <w:p>
            <w:r>
              <w:rPr>
                <w:b/>
                <w:color w:val="FFFFFF"/>
              </w:rPr>
              <w:t>Epidemia</w:t>
            </w:r>
          </w:p>
        </w:tc>
      </w:tr>
      <w:tr>
        <w:tc>
          <w:tcPr>
            <w:tcW w:type="dxa" w:w="2928"/>
          </w:tcPr>
          <w:p>
            <w:r>
              <w:t>2007</w:t>
            </w:r>
          </w:p>
        </w:tc>
        <w:tc>
          <w:tcPr>
            <w:tcW w:type="dxa" w:w="2928"/>
          </w:tcPr>
          <w:p>
            <w:r>
              <w:t>6,922</w:t>
            </w:r>
          </w:p>
        </w:tc>
        <w:tc>
          <w:tcPr>
            <w:tcW w:type="dxa" w:w="2928"/>
          </w:tcPr>
          <w:p>
            <w:r>
              <w:t>No</w:t>
            </w:r>
          </w:p>
        </w:tc>
      </w:tr>
      <w:tr>
        <w:tc>
          <w:tcPr>
            <w:tcW w:type="dxa" w:w="2928"/>
          </w:tcPr>
          <w:p>
            <w:r>
              <w:t>2008</w:t>
            </w:r>
          </w:p>
        </w:tc>
        <w:tc>
          <w:tcPr>
            <w:tcW w:type="dxa" w:w="2928"/>
          </w:tcPr>
          <w:p>
            <w:r>
              <w:t>4,292</w:t>
            </w:r>
          </w:p>
        </w:tc>
        <w:tc>
          <w:tcPr>
            <w:tcW w:type="dxa" w:w="2928"/>
          </w:tcPr>
          <w:p>
            <w:r>
              <w:t>No</w:t>
            </w:r>
          </w:p>
        </w:tc>
      </w:tr>
      <w:tr>
        <w:tc>
          <w:tcPr>
            <w:tcW w:type="dxa" w:w="2928"/>
          </w:tcPr>
          <w:p>
            <w:r>
              <w:t>2009</w:t>
            </w:r>
          </w:p>
        </w:tc>
        <w:tc>
          <w:tcPr>
            <w:tcW w:type="dxa" w:w="2928"/>
          </w:tcPr>
          <w:p>
            <w:r>
              <w:t>7,107</w:t>
            </w:r>
          </w:p>
        </w:tc>
        <w:tc>
          <w:tcPr>
            <w:tcW w:type="dxa" w:w="2928"/>
          </w:tcPr>
          <w:p>
            <w:r>
              <w:t>No</w:t>
            </w:r>
          </w:p>
        </w:tc>
      </w:tr>
      <w:tr>
        <w:tc>
          <w:tcPr>
            <w:tcW w:type="dxa" w:w="2928"/>
          </w:tcPr>
          <w:p>
            <w:r>
              <w:t>2010</w:t>
            </w:r>
          </w:p>
        </w:tc>
        <w:tc>
          <w:tcPr>
            <w:tcW w:type="dxa" w:w="2928"/>
          </w:tcPr>
          <w:p>
            <w:r>
              <w:t>9,753</w:t>
            </w:r>
          </w:p>
        </w:tc>
        <w:tc>
          <w:tcPr>
            <w:tcW w:type="dxa" w:w="2928"/>
          </w:tcPr>
          <w:p>
            <w:r>
              <w:t>Si</w:t>
            </w:r>
          </w:p>
        </w:tc>
      </w:tr>
      <w:tr>
        <w:tc>
          <w:tcPr>
            <w:tcW w:type="dxa" w:w="2928"/>
          </w:tcPr>
          <w:p>
            <w:r>
              <w:t>2011</w:t>
            </w:r>
          </w:p>
        </w:tc>
        <w:tc>
          <w:tcPr>
            <w:tcW w:type="dxa" w:w="2928"/>
          </w:tcPr>
          <w:p>
            <w:r>
              <w:t>1,303</w:t>
            </w:r>
          </w:p>
        </w:tc>
        <w:tc>
          <w:tcPr>
            <w:tcW w:type="dxa" w:w="2928"/>
          </w:tcPr>
          <w:p>
            <w:r>
              <w:t>No</w:t>
            </w:r>
          </w:p>
        </w:tc>
      </w:tr>
      <w:tr>
        <w:tc>
          <w:tcPr>
            <w:tcW w:type="dxa" w:w="2928"/>
          </w:tcPr>
          <w:p>
            <w:r>
              <w:t>2012</w:t>
            </w:r>
          </w:p>
        </w:tc>
        <w:tc>
          <w:tcPr>
            <w:tcW w:type="dxa" w:w="2928"/>
          </w:tcPr>
          <w:p>
            <w:r>
              <w:t>1,412</w:t>
            </w:r>
          </w:p>
        </w:tc>
        <w:tc>
          <w:tcPr>
            <w:tcW w:type="dxa" w:w="2928"/>
          </w:tcPr>
          <w:p>
            <w:r>
              <w:t>No</w:t>
            </w:r>
          </w:p>
        </w:tc>
      </w:tr>
      <w:tr>
        <w:tc>
          <w:tcPr>
            <w:tcW w:type="dxa" w:w="2928"/>
          </w:tcPr>
          <w:p>
            <w:r>
              <w:t>2013</w:t>
            </w:r>
          </w:p>
        </w:tc>
        <w:tc>
          <w:tcPr>
            <w:tcW w:type="dxa" w:w="2928"/>
          </w:tcPr>
          <w:p>
            <w:r>
              <w:t>3,113</w:t>
            </w:r>
          </w:p>
        </w:tc>
        <w:tc>
          <w:tcPr>
            <w:tcW w:type="dxa" w:w="2928"/>
          </w:tcPr>
          <w:p>
            <w:r>
              <w:t>Si</w:t>
            </w:r>
          </w:p>
        </w:tc>
      </w:tr>
      <w:tr>
        <w:tc>
          <w:tcPr>
            <w:tcW w:type="dxa" w:w="2928"/>
          </w:tcPr>
          <w:p>
            <w:r>
              <w:t>2014</w:t>
            </w:r>
          </w:p>
        </w:tc>
        <w:tc>
          <w:tcPr>
            <w:tcW w:type="dxa" w:w="2928"/>
          </w:tcPr>
          <w:p>
            <w:r>
              <w:t>2,619</w:t>
            </w:r>
          </w:p>
        </w:tc>
        <w:tc>
          <w:tcPr>
            <w:tcW w:type="dxa" w:w="2928"/>
          </w:tcPr>
          <w:p>
            <w:r>
              <w:t>No</w:t>
            </w:r>
          </w:p>
        </w:tc>
      </w:tr>
      <w:tr>
        <w:tc>
          <w:tcPr>
            <w:tcW w:type="dxa" w:w="2928"/>
          </w:tcPr>
          <w:p>
            <w:r>
              <w:t>2015</w:t>
            </w:r>
          </w:p>
        </w:tc>
        <w:tc>
          <w:tcPr>
            <w:tcW w:type="dxa" w:w="2928"/>
          </w:tcPr>
          <w:p>
            <w:r>
              <w:t>1,421</w:t>
            </w:r>
          </w:p>
        </w:tc>
        <w:tc>
          <w:tcPr>
            <w:tcW w:type="dxa" w:w="2928"/>
          </w:tcPr>
          <w:p>
            <w:r>
              <w:t>No</w:t>
            </w:r>
          </w:p>
        </w:tc>
      </w:tr>
      <w:tr>
        <w:tc>
          <w:tcPr>
            <w:tcW w:type="dxa" w:w="2928"/>
          </w:tcPr>
          <w:p>
            <w:r>
              <w:t>2016</w:t>
            </w:r>
          </w:p>
        </w:tc>
        <w:tc>
          <w:tcPr>
            <w:tcW w:type="dxa" w:w="2928"/>
          </w:tcPr>
          <w:p>
            <w:r>
              <w:t>899</w:t>
            </w:r>
          </w:p>
        </w:tc>
        <w:tc>
          <w:tcPr>
            <w:tcW w:type="dxa" w:w="2928"/>
          </w:tcPr>
          <w:p>
            <w:r>
              <w:t>Si</w:t>
            </w:r>
          </w:p>
        </w:tc>
      </w:tr>
      <w:tr>
        <w:tc>
          <w:tcPr>
            <w:tcW w:type="dxa" w:w="2928"/>
          </w:tcPr>
          <w:p>
            <w:r>
              <w:t>2017</w:t>
            </w:r>
          </w:p>
        </w:tc>
        <w:tc>
          <w:tcPr>
            <w:tcW w:type="dxa" w:w="2928"/>
          </w:tcPr>
          <w:p>
            <w:r>
              <w:t>236</w:t>
            </w:r>
          </w:p>
        </w:tc>
        <w:tc>
          <w:tcPr>
            <w:tcW w:type="dxa" w:w="2928"/>
          </w:tcPr>
          <w:p>
            <w:r>
              <w:t>No</w:t>
            </w:r>
          </w:p>
        </w:tc>
      </w:tr>
      <w:tr>
        <w:tc>
          <w:tcPr>
            <w:tcW w:type="dxa" w:w="2928"/>
          </w:tcPr>
          <w:p>
            <w:r>
              <w:t>2018</w:t>
            </w:r>
          </w:p>
        </w:tc>
        <w:tc>
          <w:tcPr>
            <w:tcW w:type="dxa" w:w="2928"/>
          </w:tcPr>
          <w:p>
            <w:r>
              <w:t>519</w:t>
            </w:r>
          </w:p>
        </w:tc>
        <w:tc>
          <w:tcPr>
            <w:tcW w:type="dxa" w:w="2928"/>
          </w:tcPr>
          <w:p>
            <w:r>
              <w:t>No</w:t>
            </w:r>
          </w:p>
        </w:tc>
      </w:tr>
      <w:tr>
        <w:tc>
          <w:tcPr>
            <w:tcW w:type="dxa" w:w="2928"/>
          </w:tcPr>
          <w:p>
            <w:r>
              <w:t>2019</w:t>
            </w:r>
          </w:p>
        </w:tc>
        <w:tc>
          <w:tcPr>
            <w:tcW w:type="dxa" w:w="2928"/>
          </w:tcPr>
          <w:p>
            <w:r>
              <w:t>1,348</w:t>
            </w:r>
          </w:p>
        </w:tc>
        <w:tc>
          <w:tcPr>
            <w:tcW w:type="dxa" w:w="2928"/>
          </w:tcPr>
          <w:p>
            <w:r>
              <w:t>Si</w:t>
            </w:r>
          </w:p>
        </w:tc>
      </w:tr>
      <w:tr>
        <w:tc>
          <w:tcPr>
            <w:tcW w:type="dxa" w:w="2928"/>
          </w:tcPr>
          <w:p>
            <w:r>
              <w:t>2020</w:t>
            </w:r>
          </w:p>
        </w:tc>
        <w:tc>
          <w:tcPr>
            <w:tcW w:type="dxa" w:w="2928"/>
          </w:tcPr>
          <w:p>
            <w:r>
              <w:t>862</w:t>
            </w:r>
          </w:p>
        </w:tc>
        <w:tc>
          <w:tcPr>
            <w:tcW w:type="dxa" w:w="2928"/>
          </w:tcPr>
          <w:p>
            <w:r>
              <w:t>No</w:t>
            </w:r>
          </w:p>
        </w:tc>
      </w:tr>
      <w:tr>
        <w:tc>
          <w:tcPr>
            <w:tcW w:type="dxa" w:w="2928"/>
          </w:tcPr>
          <w:p>
            <w:r>
              <w:t>2021</w:t>
            </w:r>
          </w:p>
        </w:tc>
        <w:tc>
          <w:tcPr>
            <w:tcW w:type="dxa" w:w="2928"/>
          </w:tcPr>
          <w:p>
            <w:r>
              <w:t>940</w:t>
            </w:r>
          </w:p>
        </w:tc>
        <w:tc>
          <w:tcPr>
            <w:tcW w:type="dxa" w:w="2928"/>
          </w:tcPr>
          <w:p>
            <w:r>
              <w:t>No</w:t>
            </w:r>
          </w:p>
        </w:tc>
      </w:tr>
      <w:tr>
        <w:tc>
          <w:tcPr>
            <w:tcW w:type="dxa" w:w="2928"/>
          </w:tcPr>
          <w:p>
            <w:r>
              <w:t>2022</w:t>
            </w:r>
          </w:p>
        </w:tc>
        <w:tc>
          <w:tcPr>
            <w:tcW w:type="dxa" w:w="2928"/>
          </w:tcPr>
          <w:p>
            <w:r>
              <w:t>1,340</w:t>
            </w:r>
          </w:p>
        </w:tc>
        <w:tc>
          <w:tcPr>
            <w:tcW w:type="dxa" w:w="2928"/>
          </w:tcPr>
          <w:p>
            <w:r>
              <w:t>No</w:t>
            </w:r>
          </w:p>
        </w:tc>
      </w:tr>
      <w:tr>
        <w:tc>
          <w:tcPr>
            <w:tcW w:type="dxa" w:w="2928"/>
          </w:tcPr>
          <w:p>
            <w:r>
              <w:t>2023</w:t>
            </w:r>
          </w:p>
        </w:tc>
        <w:tc>
          <w:tcPr>
            <w:tcW w:type="dxa" w:w="2928"/>
          </w:tcPr>
          <w:p>
            <w:r>
              <w:t>1,721</w:t>
            </w:r>
          </w:p>
        </w:tc>
        <w:tc>
          <w:tcPr>
            <w:tcW w:type="dxa" w:w="2928"/>
          </w:tcPr>
          <w:p>
            <w:r>
              <w:t>Si</w:t>
            </w:r>
          </w:p>
        </w:tc>
      </w:tr>
      <w:tr>
        <w:tc>
          <w:tcPr>
            <w:tcW w:type="dxa" w:w="2928"/>
          </w:tcPr>
          <w:p>
            <w:r>
              <w:t>2024</w:t>
            </w:r>
          </w:p>
        </w:tc>
        <w:tc>
          <w:tcPr>
            <w:tcW w:type="dxa" w:w="2928"/>
          </w:tcPr>
          <w:p>
            <w:r>
              <w:t>3,016</w:t>
            </w:r>
          </w:p>
        </w:tc>
        <w:tc>
          <w:tcPr>
            <w:tcW w:type="dxa" w:w="2928"/>
          </w:tcPr>
          <w:p>
            <w:r>
              <w:t>Si</w:t>
            </w:r>
          </w:p>
        </w:tc>
      </w:tr>
    </w:tbl>
    <w:p/>
    <w:p>
      <w:pPr>
        <w:pStyle w:val="Heading2"/>
        <w:jc w:val="left"/>
      </w:pPr>
      <w:r>
        <w:t>3. Tasa de gravedad respecto al dengue clásico</w:t>
      </w:r>
    </w:p>
    <w:p>
      <w:pPr>
        <w:spacing w:after="120"/>
      </w:pPr>
      <w:r>
        <w:t>La tasa de gravedad se define como el cociente entre casos graves (220) y casos clásicos (210) por año. Esta métrica es relevante para el modelo porque indica qué proporción de la carga epidémica se convierte en casos críticos que demandan hospitalización y recursos especializados.</w:t>
      </w:r>
    </w:p>
    <w:p>
      <w:r>
        <w:drawing>
          <wp:inline xmlns:a="http://schemas.openxmlformats.org/drawingml/2006/main" xmlns:pic="http://schemas.openxmlformats.org/drawingml/2006/picture">
            <wp:extent cx="5303520" cy="1631852"/>
            <wp:docPr id="2" name="Picture 2"/>
            <wp:cNvGraphicFramePr>
              <a:graphicFrameLocks noChangeAspect="1"/>
            </wp:cNvGraphicFramePr>
            <a:graphic>
              <a:graphicData uri="http://schemas.openxmlformats.org/drawingml/2006/picture">
                <pic:pic>
                  <pic:nvPicPr>
                    <pic:cNvPr id="0" name="04_tasa_gravedad.png"/>
                    <pic:cNvPicPr/>
                  </pic:nvPicPr>
                  <pic:blipFill>
                    <a:blip r:embed="rId10"/>
                    <a:stretch>
                      <a:fillRect/>
                    </a:stretch>
                  </pic:blipFill>
                  <pic:spPr>
                    <a:xfrm>
                      <a:off x="0" y="0"/>
                      <a:ext cx="5303520" cy="1631852"/>
                    </a:xfrm>
                    <a:prstGeom prst="rect"/>
                  </pic:spPr>
                </pic:pic>
              </a:graphicData>
            </a:graphic>
          </wp:inline>
        </w:drawing>
      </w:r>
    </w:p>
    <w:p>
      <w:pPr>
        <w:jc w:val="center"/>
      </w:pPr>
      <w:r>
        <w:rPr>
          <w:i/>
          <w:color w:val="5C6B84"/>
          <w:sz w:val="18"/>
        </w:rPr>
        <w:t>Figura 4. Tasa de gravedad anual (casos graves / casos clásicos). La línea discontinua indica el promedio histórico.</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0E1E3C"/>
          </w:tcPr>
          <w:p>
            <w:r>
              <w:rPr>
                <w:b/>
                <w:color w:val="FFFFFF"/>
              </w:rPr>
              <w:t>Año</w:t>
            </w:r>
          </w:p>
        </w:tc>
        <w:tc>
          <w:tcPr>
            <w:tcW w:type="dxa" w:w="2196"/>
            <w:shd w:val="clear" w:color="auto" w:fill="0E1E3C"/>
          </w:tcPr>
          <w:p>
            <w:r>
              <w:rPr>
                <w:b/>
                <w:color w:val="FFFFFF"/>
              </w:rPr>
              <w:t>Clasico</w:t>
            </w:r>
          </w:p>
        </w:tc>
        <w:tc>
          <w:tcPr>
            <w:tcW w:type="dxa" w:w="2196"/>
            <w:shd w:val="clear" w:color="auto" w:fill="0E1E3C"/>
          </w:tcPr>
          <w:p>
            <w:r>
              <w:rPr>
                <w:b/>
                <w:color w:val="FFFFFF"/>
              </w:rPr>
              <w:t>Grave</w:t>
            </w:r>
          </w:p>
        </w:tc>
        <w:tc>
          <w:tcPr>
            <w:tcW w:type="dxa" w:w="2196"/>
            <w:shd w:val="clear" w:color="auto" w:fill="0E1E3C"/>
          </w:tcPr>
          <w:p>
            <w:r>
              <w:rPr>
                <w:b/>
                <w:color w:val="FFFFFF"/>
              </w:rPr>
              <w:t>Tasa (%)</w:t>
            </w:r>
          </w:p>
        </w:tc>
      </w:tr>
      <w:tr>
        <w:tc>
          <w:tcPr>
            <w:tcW w:type="dxa" w:w="2196"/>
          </w:tcPr>
          <w:p>
            <w:r>
              <w:t>2007</w:t>
            </w:r>
          </w:p>
        </w:tc>
        <w:tc>
          <w:tcPr>
            <w:tcW w:type="dxa" w:w="2196"/>
          </w:tcPr>
          <w:p>
            <w:r>
              <w:t>35,074</w:t>
            </w:r>
          </w:p>
        </w:tc>
        <w:tc>
          <w:tcPr>
            <w:tcW w:type="dxa" w:w="2196"/>
          </w:tcPr>
          <w:p>
            <w:r>
              <w:t>6,922</w:t>
            </w:r>
          </w:p>
        </w:tc>
        <w:tc>
          <w:tcPr>
            <w:tcW w:type="dxa" w:w="2196"/>
          </w:tcPr>
          <w:p>
            <w:r>
              <w:t>19.74%</w:t>
            </w:r>
          </w:p>
        </w:tc>
      </w:tr>
      <w:tr>
        <w:tc>
          <w:tcPr>
            <w:tcW w:type="dxa" w:w="2196"/>
          </w:tcPr>
          <w:p>
            <w:r>
              <w:t>2008</w:t>
            </w:r>
          </w:p>
        </w:tc>
        <w:tc>
          <w:tcPr>
            <w:tcW w:type="dxa" w:w="2196"/>
          </w:tcPr>
          <w:p>
            <w:r>
              <w:t>32,793</w:t>
            </w:r>
          </w:p>
        </w:tc>
        <w:tc>
          <w:tcPr>
            <w:tcW w:type="dxa" w:w="2196"/>
          </w:tcPr>
          <w:p>
            <w:r>
              <w:t>4,292</w:t>
            </w:r>
          </w:p>
        </w:tc>
        <w:tc>
          <w:tcPr>
            <w:tcW w:type="dxa" w:w="2196"/>
          </w:tcPr>
          <w:p>
            <w:r>
              <w:t>13.09%</w:t>
            </w:r>
          </w:p>
        </w:tc>
      </w:tr>
      <w:tr>
        <w:tc>
          <w:tcPr>
            <w:tcW w:type="dxa" w:w="2196"/>
          </w:tcPr>
          <w:p>
            <w:r>
              <w:t>2009</w:t>
            </w:r>
          </w:p>
        </w:tc>
        <w:tc>
          <w:tcPr>
            <w:tcW w:type="dxa" w:w="2196"/>
          </w:tcPr>
          <w:p>
            <w:r>
              <w:t>45,345</w:t>
            </w:r>
          </w:p>
        </w:tc>
        <w:tc>
          <w:tcPr>
            <w:tcW w:type="dxa" w:w="2196"/>
          </w:tcPr>
          <w:p>
            <w:r>
              <w:t>7,107</w:t>
            </w:r>
          </w:p>
        </w:tc>
        <w:tc>
          <w:tcPr>
            <w:tcW w:type="dxa" w:w="2196"/>
          </w:tcPr>
          <w:p>
            <w:r>
              <w:t>15.67%</w:t>
            </w:r>
          </w:p>
        </w:tc>
      </w:tr>
      <w:tr>
        <w:tc>
          <w:tcPr>
            <w:tcW w:type="dxa" w:w="2196"/>
          </w:tcPr>
          <w:p>
            <w:r>
              <w:t>2010</w:t>
            </w:r>
          </w:p>
        </w:tc>
        <w:tc>
          <w:tcPr>
            <w:tcW w:type="dxa" w:w="2196"/>
          </w:tcPr>
          <w:p>
            <w:r>
              <w:t>147,224</w:t>
            </w:r>
          </w:p>
        </w:tc>
        <w:tc>
          <w:tcPr>
            <w:tcW w:type="dxa" w:w="2196"/>
          </w:tcPr>
          <w:p>
            <w:r>
              <w:t>9,753</w:t>
            </w:r>
          </w:p>
        </w:tc>
        <w:tc>
          <w:tcPr>
            <w:tcW w:type="dxa" w:w="2196"/>
          </w:tcPr>
          <w:p>
            <w:r>
              <w:t>6.62%</w:t>
            </w:r>
          </w:p>
        </w:tc>
      </w:tr>
      <w:tr>
        <w:tc>
          <w:tcPr>
            <w:tcW w:type="dxa" w:w="2196"/>
          </w:tcPr>
          <w:p>
            <w:r>
              <w:t>2011</w:t>
            </w:r>
          </w:p>
        </w:tc>
        <w:tc>
          <w:tcPr>
            <w:tcW w:type="dxa" w:w="2196"/>
          </w:tcPr>
          <w:p>
            <w:r>
              <w:t>29,386</w:t>
            </w:r>
          </w:p>
        </w:tc>
        <w:tc>
          <w:tcPr>
            <w:tcW w:type="dxa" w:w="2196"/>
          </w:tcPr>
          <w:p>
            <w:r>
              <w:t>1,303</w:t>
            </w:r>
          </w:p>
        </w:tc>
        <w:tc>
          <w:tcPr>
            <w:tcW w:type="dxa" w:w="2196"/>
          </w:tcPr>
          <w:p>
            <w:r>
              <w:t>4.43%</w:t>
            </w:r>
          </w:p>
        </w:tc>
      </w:tr>
      <w:tr>
        <w:tc>
          <w:tcPr>
            <w:tcW w:type="dxa" w:w="2196"/>
          </w:tcPr>
          <w:p>
            <w:r>
              <w:t>2012</w:t>
            </w:r>
          </w:p>
        </w:tc>
        <w:tc>
          <w:tcPr>
            <w:tcW w:type="dxa" w:w="2196"/>
          </w:tcPr>
          <w:p>
            <w:r>
              <w:t>52,467</w:t>
            </w:r>
          </w:p>
        </w:tc>
        <w:tc>
          <w:tcPr>
            <w:tcW w:type="dxa" w:w="2196"/>
          </w:tcPr>
          <w:p>
            <w:r>
              <w:t>1,412</w:t>
            </w:r>
          </w:p>
        </w:tc>
        <w:tc>
          <w:tcPr>
            <w:tcW w:type="dxa" w:w="2196"/>
          </w:tcPr>
          <w:p>
            <w:r>
              <w:t>2.69%</w:t>
            </w:r>
          </w:p>
        </w:tc>
      </w:tr>
      <w:tr>
        <w:tc>
          <w:tcPr>
            <w:tcW w:type="dxa" w:w="2196"/>
          </w:tcPr>
          <w:p>
            <w:r>
              <w:t>2013</w:t>
            </w:r>
          </w:p>
        </w:tc>
        <w:tc>
          <w:tcPr>
            <w:tcW w:type="dxa" w:w="2196"/>
          </w:tcPr>
          <w:p>
            <w:r>
              <w:t>122,441</w:t>
            </w:r>
          </w:p>
        </w:tc>
        <w:tc>
          <w:tcPr>
            <w:tcW w:type="dxa" w:w="2196"/>
          </w:tcPr>
          <w:p>
            <w:r>
              <w:t>3,113</w:t>
            </w:r>
          </w:p>
        </w:tc>
        <w:tc>
          <w:tcPr>
            <w:tcW w:type="dxa" w:w="2196"/>
          </w:tcPr>
          <w:p>
            <w:r>
              <w:t>2.54%</w:t>
            </w:r>
          </w:p>
        </w:tc>
      </w:tr>
      <w:tr>
        <w:tc>
          <w:tcPr>
            <w:tcW w:type="dxa" w:w="2196"/>
          </w:tcPr>
          <w:p>
            <w:r>
              <w:t>2014</w:t>
            </w:r>
          </w:p>
        </w:tc>
        <w:tc>
          <w:tcPr>
            <w:tcW w:type="dxa" w:w="2196"/>
          </w:tcPr>
          <w:p>
            <w:r>
              <w:t>105,356</w:t>
            </w:r>
          </w:p>
        </w:tc>
        <w:tc>
          <w:tcPr>
            <w:tcW w:type="dxa" w:w="2196"/>
          </w:tcPr>
          <w:p>
            <w:r>
              <w:t>2,619</w:t>
            </w:r>
          </w:p>
        </w:tc>
        <w:tc>
          <w:tcPr>
            <w:tcW w:type="dxa" w:w="2196"/>
          </w:tcPr>
          <w:p>
            <w:r>
              <w:t>2.49%</w:t>
            </w:r>
          </w:p>
        </w:tc>
      </w:tr>
      <w:tr>
        <w:tc>
          <w:tcPr>
            <w:tcW w:type="dxa" w:w="2196"/>
          </w:tcPr>
          <w:p>
            <w:r>
              <w:t>2015</w:t>
            </w:r>
          </w:p>
        </w:tc>
        <w:tc>
          <w:tcPr>
            <w:tcW w:type="dxa" w:w="2196"/>
          </w:tcPr>
          <w:p>
            <w:r>
              <w:t>95,023</w:t>
            </w:r>
          </w:p>
        </w:tc>
        <w:tc>
          <w:tcPr>
            <w:tcW w:type="dxa" w:w="2196"/>
          </w:tcPr>
          <w:p>
            <w:r>
              <w:t>1,421</w:t>
            </w:r>
          </w:p>
        </w:tc>
        <w:tc>
          <w:tcPr>
            <w:tcW w:type="dxa" w:w="2196"/>
          </w:tcPr>
          <w:p>
            <w:r>
              <w:t>1.50%</w:t>
            </w:r>
          </w:p>
        </w:tc>
      </w:tr>
      <w:tr>
        <w:tc>
          <w:tcPr>
            <w:tcW w:type="dxa" w:w="2196"/>
          </w:tcPr>
          <w:p>
            <w:r>
              <w:t>2016</w:t>
            </w:r>
          </w:p>
        </w:tc>
        <w:tc>
          <w:tcPr>
            <w:tcW w:type="dxa" w:w="2196"/>
          </w:tcPr>
          <w:p>
            <w:r>
              <w:t>100,117</w:t>
            </w:r>
          </w:p>
        </w:tc>
        <w:tc>
          <w:tcPr>
            <w:tcW w:type="dxa" w:w="2196"/>
          </w:tcPr>
          <w:p>
            <w:r>
              <w:t>899</w:t>
            </w:r>
          </w:p>
        </w:tc>
        <w:tc>
          <w:tcPr>
            <w:tcW w:type="dxa" w:w="2196"/>
          </w:tcPr>
          <w:p>
            <w:r>
              <w:t>0.90%</w:t>
            </w:r>
          </w:p>
        </w:tc>
      </w:tr>
      <w:tr>
        <w:tc>
          <w:tcPr>
            <w:tcW w:type="dxa" w:w="2196"/>
          </w:tcPr>
          <w:p>
            <w:r>
              <w:t>2017</w:t>
            </w:r>
          </w:p>
        </w:tc>
        <w:tc>
          <w:tcPr>
            <w:tcW w:type="dxa" w:w="2196"/>
          </w:tcPr>
          <w:p>
            <w:r>
              <w:t>25,048</w:t>
            </w:r>
          </w:p>
        </w:tc>
        <w:tc>
          <w:tcPr>
            <w:tcW w:type="dxa" w:w="2196"/>
          </w:tcPr>
          <w:p>
            <w:r>
              <w:t>236</w:t>
            </w:r>
          </w:p>
        </w:tc>
        <w:tc>
          <w:tcPr>
            <w:tcW w:type="dxa" w:w="2196"/>
          </w:tcPr>
          <w:p>
            <w:r>
              <w:t>0.94%</w:t>
            </w:r>
          </w:p>
        </w:tc>
      </w:tr>
      <w:tr>
        <w:tc>
          <w:tcPr>
            <w:tcW w:type="dxa" w:w="2196"/>
          </w:tcPr>
          <w:p>
            <w:r>
              <w:t>2018</w:t>
            </w:r>
          </w:p>
        </w:tc>
        <w:tc>
          <w:tcPr>
            <w:tcW w:type="dxa" w:w="2196"/>
          </w:tcPr>
          <w:p>
            <w:r>
              <w:t>43,652</w:t>
            </w:r>
          </w:p>
        </w:tc>
        <w:tc>
          <w:tcPr>
            <w:tcW w:type="dxa" w:w="2196"/>
          </w:tcPr>
          <w:p>
            <w:r>
              <w:t>519</w:t>
            </w:r>
          </w:p>
        </w:tc>
        <w:tc>
          <w:tcPr>
            <w:tcW w:type="dxa" w:w="2196"/>
          </w:tcPr>
          <w:p>
            <w:r>
              <w:t>1.19%</w:t>
            </w:r>
          </w:p>
        </w:tc>
      </w:tr>
      <w:tr>
        <w:tc>
          <w:tcPr>
            <w:tcW w:type="dxa" w:w="2196"/>
          </w:tcPr>
          <w:p>
            <w:r>
              <w:t>2019</w:t>
            </w:r>
          </w:p>
        </w:tc>
        <w:tc>
          <w:tcPr>
            <w:tcW w:type="dxa" w:w="2196"/>
          </w:tcPr>
          <w:p>
            <w:r>
              <w:t>123,641</w:t>
            </w:r>
          </w:p>
        </w:tc>
        <w:tc>
          <w:tcPr>
            <w:tcW w:type="dxa" w:w="2196"/>
          </w:tcPr>
          <w:p>
            <w:r>
              <w:t>1,348</w:t>
            </w:r>
          </w:p>
        </w:tc>
        <w:tc>
          <w:tcPr>
            <w:tcW w:type="dxa" w:w="2196"/>
          </w:tcPr>
          <w:p>
            <w:r>
              <w:t>1.09%</w:t>
            </w:r>
          </w:p>
        </w:tc>
      </w:tr>
      <w:tr>
        <w:tc>
          <w:tcPr>
            <w:tcW w:type="dxa" w:w="2196"/>
          </w:tcPr>
          <w:p>
            <w:r>
              <w:t>2020</w:t>
            </w:r>
          </w:p>
        </w:tc>
        <w:tc>
          <w:tcPr>
            <w:tcW w:type="dxa" w:w="2196"/>
          </w:tcPr>
          <w:p>
            <w:r>
              <w:t>76,419</w:t>
            </w:r>
          </w:p>
        </w:tc>
        <w:tc>
          <w:tcPr>
            <w:tcW w:type="dxa" w:w="2196"/>
          </w:tcPr>
          <w:p>
            <w:r>
              <w:t>862</w:t>
            </w:r>
          </w:p>
        </w:tc>
        <w:tc>
          <w:tcPr>
            <w:tcW w:type="dxa" w:w="2196"/>
          </w:tcPr>
          <w:p>
            <w:r>
              <w:t>1.13%</w:t>
            </w:r>
          </w:p>
        </w:tc>
      </w:tr>
      <w:tr>
        <w:tc>
          <w:tcPr>
            <w:tcW w:type="dxa" w:w="2196"/>
          </w:tcPr>
          <w:p>
            <w:r>
              <w:t>2021</w:t>
            </w:r>
          </w:p>
        </w:tc>
        <w:tc>
          <w:tcPr>
            <w:tcW w:type="dxa" w:w="2196"/>
          </w:tcPr>
          <w:p>
            <w:r>
              <w:t>49,325</w:t>
            </w:r>
          </w:p>
        </w:tc>
        <w:tc>
          <w:tcPr>
            <w:tcW w:type="dxa" w:w="2196"/>
          </w:tcPr>
          <w:p>
            <w:r>
              <w:t>940</w:t>
            </w:r>
          </w:p>
        </w:tc>
        <w:tc>
          <w:tcPr>
            <w:tcW w:type="dxa" w:w="2196"/>
          </w:tcPr>
          <w:p>
            <w:r>
              <w:t>1.91%</w:t>
            </w:r>
          </w:p>
        </w:tc>
      </w:tr>
      <w:tr>
        <w:tc>
          <w:tcPr>
            <w:tcW w:type="dxa" w:w="2196"/>
          </w:tcPr>
          <w:p>
            <w:r>
              <w:t>2022</w:t>
            </w:r>
          </w:p>
        </w:tc>
        <w:tc>
          <w:tcPr>
            <w:tcW w:type="dxa" w:w="2196"/>
          </w:tcPr>
          <w:p>
            <w:r>
              <w:t>65,691</w:t>
            </w:r>
          </w:p>
        </w:tc>
        <w:tc>
          <w:tcPr>
            <w:tcW w:type="dxa" w:w="2196"/>
          </w:tcPr>
          <w:p>
            <w:r>
              <w:t>1,340</w:t>
            </w:r>
          </w:p>
        </w:tc>
        <w:tc>
          <w:tcPr>
            <w:tcW w:type="dxa" w:w="2196"/>
          </w:tcPr>
          <w:p>
            <w:r>
              <w:t>2.04%</w:t>
            </w:r>
          </w:p>
        </w:tc>
      </w:tr>
      <w:tr>
        <w:tc>
          <w:tcPr>
            <w:tcW w:type="dxa" w:w="2196"/>
          </w:tcPr>
          <w:p>
            <w:r>
              <w:t>2023</w:t>
            </w:r>
          </w:p>
        </w:tc>
        <w:tc>
          <w:tcPr>
            <w:tcW w:type="dxa" w:w="2196"/>
          </w:tcPr>
          <w:p>
            <w:r>
              <w:t>126,411</w:t>
            </w:r>
          </w:p>
        </w:tc>
        <w:tc>
          <w:tcPr>
            <w:tcW w:type="dxa" w:w="2196"/>
          </w:tcPr>
          <w:p>
            <w:r>
              <w:t>1,721</w:t>
            </w:r>
          </w:p>
        </w:tc>
        <w:tc>
          <w:tcPr>
            <w:tcW w:type="dxa" w:w="2196"/>
          </w:tcPr>
          <w:p>
            <w:r>
              <w:t>1.36%</w:t>
            </w:r>
          </w:p>
        </w:tc>
      </w:tr>
      <w:tr>
        <w:tc>
          <w:tcPr>
            <w:tcW w:type="dxa" w:w="2196"/>
          </w:tcPr>
          <w:p>
            <w:r>
              <w:t>2024</w:t>
            </w:r>
          </w:p>
        </w:tc>
        <w:tc>
          <w:tcPr>
            <w:tcW w:type="dxa" w:w="2196"/>
          </w:tcPr>
          <w:p>
            <w:r>
              <w:t>309,627</w:t>
            </w:r>
          </w:p>
        </w:tc>
        <w:tc>
          <w:tcPr>
            <w:tcW w:type="dxa" w:w="2196"/>
          </w:tcPr>
          <w:p>
            <w:r>
              <w:t>3,016</w:t>
            </w:r>
          </w:p>
        </w:tc>
        <w:tc>
          <w:tcPr>
            <w:tcW w:type="dxa" w:w="2196"/>
          </w:tcPr>
          <w:p>
            <w:r>
              <w:t>0.97%</w:t>
            </w:r>
          </w:p>
        </w:tc>
      </w:tr>
    </w:tbl>
    <w:p/>
    <w:p>
      <w:pPr>
        <w:pStyle w:val="Heading2"/>
        <w:jc w:val="left"/>
      </w:pPr>
      <w:r>
        <w:t>4. Distribución geográfica</w:t>
      </w:r>
    </w:p>
    <w:p>
      <w:pPr>
        <w:spacing w:after="120"/>
      </w:pPr>
      <w:r>
        <w:t>Los 830 municipios con casos graves son un subconjunto de los municipios con dengue clásico. La concentración geográfica es similar, con los valles interandinos y la Costa Caribe liderando la carga de casos graves.</w:t>
      </w:r>
    </w:p>
    <w:p>
      <w:pPr>
        <w:spacing w:after="120"/>
      </w:pPr>
      <w:r>
        <w:t>Top 10 municipios por total de casos graves (2007–2024):</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E1E3C"/>
          </w:tcPr>
          <w:p>
            <w:r>
              <w:rPr>
                <w:b/>
                <w:color w:val="FFFFFF"/>
              </w:rPr>
              <w:t>Municipio</w:t>
            </w:r>
          </w:p>
        </w:tc>
        <w:tc>
          <w:tcPr>
            <w:tcW w:type="dxa" w:w="2928"/>
            <w:shd w:val="clear" w:color="auto" w:fill="0E1E3C"/>
          </w:tcPr>
          <w:p>
            <w:r>
              <w:rPr>
                <w:b/>
                <w:color w:val="FFFFFF"/>
              </w:rPr>
              <w:t>Departamento</w:t>
            </w:r>
          </w:p>
        </w:tc>
        <w:tc>
          <w:tcPr>
            <w:tcW w:type="dxa" w:w="2928"/>
            <w:shd w:val="clear" w:color="auto" w:fill="0E1E3C"/>
          </w:tcPr>
          <w:p>
            <w:r>
              <w:rPr>
                <w:b/>
                <w:color w:val="FFFFFF"/>
              </w:rPr>
              <w:t>Casos</w:t>
            </w:r>
          </w:p>
        </w:tc>
      </w:tr>
      <w:tr>
        <w:tc>
          <w:tcPr>
            <w:tcW w:type="dxa" w:w="2928"/>
          </w:tcPr>
          <w:p>
            <w:r>
              <w:t>BUCARAMANGA</w:t>
            </w:r>
          </w:p>
        </w:tc>
        <w:tc>
          <w:tcPr>
            <w:tcW w:type="dxa" w:w="2928"/>
          </w:tcPr>
          <w:p>
            <w:r>
              <w:t>SANTANDER</w:t>
            </w:r>
          </w:p>
        </w:tc>
        <w:tc>
          <w:tcPr>
            <w:tcW w:type="dxa" w:w="2928"/>
          </w:tcPr>
          <w:p>
            <w:r>
              <w:t>4,300</w:t>
            </w:r>
          </w:p>
        </w:tc>
      </w:tr>
      <w:tr>
        <w:tc>
          <w:tcPr>
            <w:tcW w:type="dxa" w:w="2928"/>
          </w:tcPr>
          <w:p>
            <w:r>
              <w:t>CALI</w:t>
            </w:r>
          </w:p>
        </w:tc>
        <w:tc>
          <w:tcPr>
            <w:tcW w:type="dxa" w:w="2928"/>
          </w:tcPr>
          <w:p>
            <w:r>
              <w:t>VALLE</w:t>
            </w:r>
          </w:p>
        </w:tc>
        <w:tc>
          <w:tcPr>
            <w:tcW w:type="dxa" w:w="2928"/>
          </w:tcPr>
          <w:p>
            <w:r>
              <w:t>3,313</w:t>
            </w:r>
          </w:p>
        </w:tc>
      </w:tr>
      <w:tr>
        <w:tc>
          <w:tcPr>
            <w:tcW w:type="dxa" w:w="2928"/>
          </w:tcPr>
          <w:p>
            <w:r>
              <w:t>NEIVA</w:t>
            </w:r>
          </w:p>
        </w:tc>
        <w:tc>
          <w:tcPr>
            <w:tcW w:type="dxa" w:w="2928"/>
          </w:tcPr>
          <w:p>
            <w:r>
              <w:t>HUILA</w:t>
            </w:r>
          </w:p>
        </w:tc>
        <w:tc>
          <w:tcPr>
            <w:tcW w:type="dxa" w:w="2928"/>
          </w:tcPr>
          <w:p>
            <w:r>
              <w:t>3,186</w:t>
            </w:r>
          </w:p>
        </w:tc>
      </w:tr>
      <w:tr>
        <w:tc>
          <w:tcPr>
            <w:tcW w:type="dxa" w:w="2928"/>
          </w:tcPr>
          <w:p>
            <w:r>
              <w:t>CUCUTA</w:t>
            </w:r>
          </w:p>
        </w:tc>
        <w:tc>
          <w:tcPr>
            <w:tcW w:type="dxa" w:w="2928"/>
          </w:tcPr>
          <w:p>
            <w:r>
              <w:t>NORTE SANTANDER</w:t>
            </w:r>
          </w:p>
        </w:tc>
        <w:tc>
          <w:tcPr>
            <w:tcW w:type="dxa" w:w="2928"/>
          </w:tcPr>
          <w:p>
            <w:r>
              <w:t>2,813</w:t>
            </w:r>
          </w:p>
        </w:tc>
      </w:tr>
      <w:tr>
        <w:tc>
          <w:tcPr>
            <w:tcW w:type="dxa" w:w="2928"/>
          </w:tcPr>
          <w:p>
            <w:r>
              <w:t>FLORIDABLANCA</w:t>
            </w:r>
          </w:p>
        </w:tc>
        <w:tc>
          <w:tcPr>
            <w:tcW w:type="dxa" w:w="2928"/>
          </w:tcPr>
          <w:p>
            <w:r>
              <w:t>SANTANDER</w:t>
            </w:r>
          </w:p>
        </w:tc>
        <w:tc>
          <w:tcPr>
            <w:tcW w:type="dxa" w:w="2928"/>
          </w:tcPr>
          <w:p>
            <w:r>
              <w:t>2,110</w:t>
            </w:r>
          </w:p>
        </w:tc>
      </w:tr>
      <w:tr>
        <w:tc>
          <w:tcPr>
            <w:tcW w:type="dxa" w:w="2928"/>
          </w:tcPr>
          <w:p>
            <w:r>
              <w:t>VILLAVICENCIO</w:t>
            </w:r>
          </w:p>
        </w:tc>
        <w:tc>
          <w:tcPr>
            <w:tcW w:type="dxa" w:w="2928"/>
          </w:tcPr>
          <w:p>
            <w:r>
              <w:t>META</w:t>
            </w:r>
          </w:p>
        </w:tc>
        <w:tc>
          <w:tcPr>
            <w:tcW w:type="dxa" w:w="2928"/>
          </w:tcPr>
          <w:p>
            <w:r>
              <w:t>1,132</w:t>
            </w:r>
          </w:p>
        </w:tc>
      </w:tr>
      <w:tr>
        <w:tc>
          <w:tcPr>
            <w:tcW w:type="dxa" w:w="2928"/>
          </w:tcPr>
          <w:p>
            <w:r>
              <w:t>GIRON</w:t>
            </w:r>
          </w:p>
        </w:tc>
        <w:tc>
          <w:tcPr>
            <w:tcW w:type="dxa" w:w="2928"/>
          </w:tcPr>
          <w:p>
            <w:r>
              <w:t>SANTANDER</w:t>
            </w:r>
          </w:p>
        </w:tc>
        <w:tc>
          <w:tcPr>
            <w:tcW w:type="dxa" w:w="2928"/>
          </w:tcPr>
          <w:p>
            <w:r>
              <w:t>1,040</w:t>
            </w:r>
          </w:p>
        </w:tc>
      </w:tr>
      <w:tr>
        <w:tc>
          <w:tcPr>
            <w:tcW w:type="dxa" w:w="2928"/>
          </w:tcPr>
          <w:p>
            <w:r>
              <w:t>IBAGUE</w:t>
            </w:r>
          </w:p>
        </w:tc>
        <w:tc>
          <w:tcPr>
            <w:tcW w:type="dxa" w:w="2928"/>
          </w:tcPr>
          <w:p>
            <w:r>
              <w:t>TOLIMA</w:t>
            </w:r>
          </w:p>
        </w:tc>
        <w:tc>
          <w:tcPr>
            <w:tcW w:type="dxa" w:w="2928"/>
          </w:tcPr>
          <w:p>
            <w:r>
              <w:t>1,032</w:t>
            </w:r>
          </w:p>
        </w:tc>
      </w:tr>
      <w:tr>
        <w:tc>
          <w:tcPr>
            <w:tcW w:type="dxa" w:w="2928"/>
          </w:tcPr>
          <w:p>
            <w:r>
              <w:t>PIEDECUESTA</w:t>
            </w:r>
          </w:p>
        </w:tc>
        <w:tc>
          <w:tcPr>
            <w:tcW w:type="dxa" w:w="2928"/>
          </w:tcPr>
          <w:p>
            <w:r>
              <w:t>SANTANDER</w:t>
            </w:r>
          </w:p>
        </w:tc>
        <w:tc>
          <w:tcPr>
            <w:tcW w:type="dxa" w:w="2928"/>
          </w:tcPr>
          <w:p>
            <w:r>
              <w:t>977</w:t>
            </w:r>
          </w:p>
        </w:tc>
      </w:tr>
      <w:tr>
        <w:tc>
          <w:tcPr>
            <w:tcW w:type="dxa" w:w="2928"/>
          </w:tcPr>
          <w:p>
            <w:r>
              <w:t>CARTAGENA</w:t>
            </w:r>
          </w:p>
        </w:tc>
        <w:tc>
          <w:tcPr>
            <w:tcW w:type="dxa" w:w="2928"/>
          </w:tcPr>
          <w:p>
            <w:r>
              <w:t>BOLIVAR</w:t>
            </w:r>
          </w:p>
        </w:tc>
        <w:tc>
          <w:tcPr>
            <w:tcW w:type="dxa" w:w="2928"/>
          </w:tcPr>
          <w:p>
            <w:r>
              <w:t>902</w:t>
            </w:r>
          </w:p>
        </w:tc>
      </w:tr>
    </w:tbl>
    <w:p/>
    <w:p>
      <w:pPr>
        <w:pStyle w:val="Heading2"/>
        <w:jc w:val="left"/>
      </w:pPr>
      <w:r>
        <w:t>5. Indicadores de severidad</w:t>
      </w:r>
    </w:p>
    <w:tbl>
      <w:tblPr>
        <w:tblStyle w:val="TableGrid"/>
        <w:tblW w:type="auto" w:w="0"/>
        <w:tblLook w:firstColumn="1" w:firstRow="1" w:lastColumn="0" w:lastRow="0" w:noHBand="0" w:noVBand="1" w:val="04A0"/>
      </w:tblPr>
      <w:tblGrid>
        <w:gridCol w:w="4392"/>
        <w:gridCol w:w="4392"/>
      </w:tblGrid>
      <w:tr>
        <w:tc>
          <w:tcPr>
            <w:tcW w:type="dxa" w:w="4392"/>
            <w:shd w:val="clear" w:color="auto" w:fill="0E1E3C"/>
          </w:tcPr>
          <w:p>
            <w:r>
              <w:rPr>
                <w:b/>
                <w:color w:val="FFFFFF"/>
              </w:rPr>
              <w:t>Hospitalizado (PAC_HOS)</w:t>
            </w:r>
          </w:p>
        </w:tc>
        <w:tc>
          <w:tcPr>
            <w:tcW w:type="dxa" w:w="4392"/>
            <w:shd w:val="clear" w:color="auto" w:fill="0E1E3C"/>
          </w:tcPr>
          <w:p>
            <w:r>
              <w:rPr>
                <w:b/>
                <w:color w:val="FFFFFF"/>
              </w:rPr>
              <w:t>Registros</w:t>
            </w:r>
          </w:p>
        </w:tc>
      </w:tr>
      <w:tr>
        <w:tc>
          <w:tcPr>
            <w:tcW w:type="dxa" w:w="4392"/>
          </w:tcPr>
          <w:p>
            <w:r>
              <w:t>Si (1)</w:t>
            </w:r>
          </w:p>
        </w:tc>
        <w:tc>
          <w:tcPr>
            <w:tcW w:type="dxa" w:w="4392"/>
          </w:tcPr>
          <w:p>
            <w:r>
              <w:t>40,074</w:t>
            </w:r>
          </w:p>
        </w:tc>
      </w:tr>
      <w:tr>
        <w:tc>
          <w:tcPr>
            <w:tcW w:type="dxa" w:w="4392"/>
          </w:tcPr>
          <w:p>
            <w:r>
              <w:t>No (2)</w:t>
            </w:r>
          </w:p>
        </w:tc>
        <w:tc>
          <w:tcPr>
            <w:tcW w:type="dxa" w:w="4392"/>
          </w:tcPr>
          <w:p>
            <w:r>
              <w:t>8,749</w:t>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0E1E3C"/>
          </w:tcPr>
          <w:p>
            <w:r>
              <w:rPr>
                <w:b/>
                <w:color w:val="FFFFFF"/>
              </w:rPr>
              <w:t>Desenlace (CON_FIN)</w:t>
            </w:r>
          </w:p>
        </w:tc>
        <w:tc>
          <w:tcPr>
            <w:tcW w:type="dxa" w:w="4392"/>
            <w:shd w:val="clear" w:color="auto" w:fill="0E1E3C"/>
          </w:tcPr>
          <w:p>
            <w:r>
              <w:rPr>
                <w:b/>
                <w:color w:val="FFFFFF"/>
              </w:rPr>
              <w:t>Registros</w:t>
            </w:r>
          </w:p>
        </w:tc>
      </w:tr>
      <w:tr>
        <w:tc>
          <w:tcPr>
            <w:tcW w:type="dxa" w:w="4392"/>
          </w:tcPr>
          <w:p>
            <w:r>
              <w:t>Vivo (1)</w:t>
            </w:r>
          </w:p>
        </w:tc>
        <w:tc>
          <w:tcPr>
            <w:tcW w:type="dxa" w:w="4392"/>
          </w:tcPr>
          <w:p>
            <w:r>
              <w:t>48,369</w:t>
            </w:r>
          </w:p>
        </w:tc>
      </w:tr>
      <w:tr>
        <w:tc>
          <w:tcPr>
            <w:tcW w:type="dxa" w:w="4392"/>
          </w:tcPr>
          <w:p>
            <w:r>
              <w:t>Muerto (2)</w:t>
            </w:r>
          </w:p>
        </w:tc>
        <w:tc>
          <w:tcPr>
            <w:tcW w:type="dxa" w:w="4392"/>
          </w:tcPr>
          <w:p>
            <w:r>
              <w:t>454</w:t>
            </w:r>
          </w:p>
        </w:tc>
      </w:tr>
      <w:tr>
        <w:tc>
          <w:tcPr>
            <w:tcW w:type="dxa" w:w="4392"/>
          </w:tcPr>
          <w:p>
            <w:r>
              <w:t>No sabe (3)</w:t>
            </w:r>
          </w:p>
        </w:tc>
        <w:tc>
          <w:tcPr>
            <w:tcW w:type="dxa" w:w="4392"/>
          </w:tcPr>
          <w:p>
            <w:r>
              <w:t>0</w:t>
            </w:r>
          </w:p>
        </w:tc>
      </w:tr>
    </w:tbl>
    <w:p/>
    <w:p>
      <w:pPr>
        <w:pStyle w:val="Heading2"/>
        <w:jc w:val="left"/>
      </w:pPr>
      <w:r>
        <w:t>6. Calidad de los datos</w:t>
      </w:r>
    </w:p>
    <w:p>
      <w:pPr>
        <w:spacing w:after="120"/>
      </w:pPr>
      <w:r>
        <w:t>Estructura idéntica a los archivos de dengue clásico (69 columnas). No hay registros duplicados entre ambos datasets (verificado por CONSECUTIVE). Los archivos de 2025 fueron excluidos del análisis por estar fuera del período de referencia del proyecto (2007–2024).</w:t>
      </w:r>
    </w:p>
    <w:p>
      <w:pPr>
        <w:pStyle w:val="Heading2"/>
        <w:jc w:val="left"/>
      </w:pPr>
      <w:r>
        <w:t>7. Conclusiones para el modelado</w:t>
      </w:r>
    </w:p>
    <w:p>
      <w:pPr>
        <w:spacing w:after="120"/>
      </w:pPr>
      <w:r>
        <w:t>El dataset de dengue grave aporta una dimensión crítica para el sistema de alerta temprana: permite estimar no solo el riesgo de exceso de casos, sino también la probabilidad de que esos casos sean graves, lo que tiene implicaciones directas en la planificación de recursos hospitalarios. La tasa de gravedad histórica promedio de 3.1% puede usarse como variable objetivo complementaria o como feature del modelo principal.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