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FEBFBE" w14:textId="77777777" w:rsidR="0082435F" w:rsidRDefault="0082435F" w:rsidP="0082435F">
      <w:pPr>
        <w:jc w:val="center"/>
        <w:rPr>
          <w:b/>
          <w:sz w:val="32"/>
          <w:szCs w:val="32"/>
        </w:rPr>
      </w:pPr>
      <w:r>
        <w:rPr>
          <w:b/>
          <w:sz w:val="32"/>
          <w:szCs w:val="32"/>
        </w:rPr>
        <w:t>MANUAL:</w:t>
      </w:r>
    </w:p>
    <w:p w14:paraId="710EBA5B" w14:textId="77777777" w:rsidR="0082435F" w:rsidRDefault="0082435F" w:rsidP="0082435F">
      <w:pPr>
        <w:jc w:val="center"/>
        <w:rPr>
          <w:b/>
          <w:sz w:val="32"/>
          <w:szCs w:val="32"/>
        </w:rPr>
      </w:pPr>
    </w:p>
    <w:p w14:paraId="5D102932" w14:textId="77777777" w:rsidR="0082435F" w:rsidRDefault="0082435F" w:rsidP="0082435F">
      <w:pPr>
        <w:jc w:val="center"/>
        <w:rPr>
          <w:b/>
          <w:sz w:val="32"/>
          <w:szCs w:val="32"/>
        </w:rPr>
      </w:pPr>
    </w:p>
    <w:p w14:paraId="500951FB" w14:textId="0CF33C8F" w:rsidR="006C1B97" w:rsidRDefault="0082435F" w:rsidP="0082435F">
      <w:pPr>
        <w:jc w:val="center"/>
        <w:rPr>
          <w:b/>
          <w:sz w:val="32"/>
          <w:szCs w:val="32"/>
        </w:rPr>
      </w:pPr>
      <w:r w:rsidRPr="0082435F">
        <w:rPr>
          <w:b/>
          <w:sz w:val="32"/>
          <w:szCs w:val="32"/>
        </w:rPr>
        <w:t xml:space="preserve">R Shiny App for </w:t>
      </w:r>
      <w:r w:rsidR="00252F4B" w:rsidRPr="00252F4B">
        <w:rPr>
          <w:b/>
          <w:sz w:val="32"/>
          <w:szCs w:val="32"/>
        </w:rPr>
        <w:t>Iteratively Adjusted Surrogate Variable Analysis (IA-SVA)</w:t>
      </w:r>
    </w:p>
    <w:p w14:paraId="109AFCD4" w14:textId="77777777" w:rsidR="0082435F" w:rsidRDefault="0082435F" w:rsidP="0082435F">
      <w:pPr>
        <w:jc w:val="center"/>
        <w:rPr>
          <w:b/>
          <w:sz w:val="32"/>
          <w:szCs w:val="32"/>
        </w:rPr>
      </w:pPr>
    </w:p>
    <w:p w14:paraId="0D4EED66" w14:textId="77777777" w:rsidR="0082435F" w:rsidRDefault="0082435F" w:rsidP="0082435F">
      <w:pPr>
        <w:jc w:val="center"/>
        <w:rPr>
          <w:b/>
          <w:sz w:val="32"/>
          <w:szCs w:val="32"/>
        </w:rPr>
      </w:pPr>
    </w:p>
    <w:p w14:paraId="27F612D6" w14:textId="77777777" w:rsidR="0082435F" w:rsidRDefault="0082435F" w:rsidP="0082435F">
      <w:pPr>
        <w:jc w:val="center"/>
        <w:rPr>
          <w:b/>
          <w:sz w:val="32"/>
          <w:szCs w:val="32"/>
        </w:rPr>
      </w:pPr>
      <w:r>
        <w:rPr>
          <w:b/>
          <w:sz w:val="32"/>
          <w:szCs w:val="32"/>
        </w:rPr>
        <w:t>Author: Nathan Lawlor</w:t>
      </w:r>
    </w:p>
    <w:p w14:paraId="263D58BC" w14:textId="77777777" w:rsidR="0082435F" w:rsidRDefault="0082435F" w:rsidP="0082435F">
      <w:pPr>
        <w:jc w:val="center"/>
        <w:rPr>
          <w:b/>
          <w:sz w:val="32"/>
          <w:szCs w:val="32"/>
        </w:rPr>
      </w:pPr>
      <w:r>
        <w:rPr>
          <w:b/>
          <w:sz w:val="32"/>
          <w:szCs w:val="32"/>
        </w:rPr>
        <w:t xml:space="preserve">Contact: </w:t>
      </w:r>
      <w:hyperlink r:id="rId8" w:history="1">
        <w:r w:rsidRPr="00345FDE">
          <w:rPr>
            <w:rStyle w:val="Hyperlink"/>
            <w:b/>
            <w:sz w:val="32"/>
            <w:szCs w:val="32"/>
          </w:rPr>
          <w:t>Nathan.lawlor03@gmail.com</w:t>
        </w:r>
      </w:hyperlink>
    </w:p>
    <w:p w14:paraId="1A81F898" w14:textId="77777777" w:rsidR="0082435F" w:rsidRDefault="0082435F" w:rsidP="0082435F">
      <w:pPr>
        <w:jc w:val="center"/>
        <w:rPr>
          <w:b/>
          <w:sz w:val="32"/>
          <w:szCs w:val="32"/>
        </w:rPr>
      </w:pPr>
    </w:p>
    <w:p w14:paraId="14608A6E" w14:textId="77777777" w:rsidR="00A37D15" w:rsidRDefault="00A37D15" w:rsidP="0082435F">
      <w:pPr>
        <w:jc w:val="center"/>
        <w:rPr>
          <w:b/>
          <w:sz w:val="32"/>
          <w:szCs w:val="32"/>
          <w:u w:val="single"/>
        </w:rPr>
      </w:pPr>
    </w:p>
    <w:p w14:paraId="7A63CAD6" w14:textId="0BAC0962" w:rsidR="005F25EB" w:rsidRPr="00A37D15" w:rsidRDefault="00252F4B" w:rsidP="0082435F">
      <w:pPr>
        <w:jc w:val="center"/>
        <w:rPr>
          <w:b/>
          <w:sz w:val="32"/>
          <w:szCs w:val="32"/>
          <w:u w:val="single"/>
        </w:rPr>
      </w:pPr>
      <w:r w:rsidRPr="00A37D15">
        <w:rPr>
          <w:b/>
          <w:sz w:val="32"/>
          <w:szCs w:val="32"/>
          <w:u w:val="single"/>
        </w:rPr>
        <w:t>Other Resources</w:t>
      </w:r>
      <w:r w:rsidR="005F25EB" w:rsidRPr="00A37D15">
        <w:rPr>
          <w:b/>
          <w:sz w:val="32"/>
          <w:szCs w:val="32"/>
          <w:u w:val="single"/>
        </w:rPr>
        <w:t>:</w:t>
      </w:r>
    </w:p>
    <w:p w14:paraId="61F0A71A" w14:textId="77777777" w:rsidR="00252F4B" w:rsidRDefault="00252F4B" w:rsidP="0082435F">
      <w:pPr>
        <w:jc w:val="center"/>
        <w:rPr>
          <w:b/>
          <w:sz w:val="32"/>
          <w:szCs w:val="32"/>
        </w:rPr>
      </w:pPr>
    </w:p>
    <w:p w14:paraId="68477A9E" w14:textId="1F0849A4" w:rsidR="00252F4B" w:rsidRDefault="00252F4B" w:rsidP="0082435F">
      <w:pPr>
        <w:jc w:val="center"/>
        <w:rPr>
          <w:b/>
          <w:sz w:val="32"/>
          <w:szCs w:val="32"/>
        </w:rPr>
      </w:pPr>
      <w:r>
        <w:rPr>
          <w:b/>
          <w:sz w:val="32"/>
          <w:szCs w:val="32"/>
        </w:rPr>
        <w:t xml:space="preserve">Manuscript on bioRxiv: </w:t>
      </w:r>
      <w:hyperlink r:id="rId9" w:history="1">
        <w:r w:rsidRPr="0048748F">
          <w:rPr>
            <w:rStyle w:val="Hyperlink"/>
            <w:b/>
            <w:sz w:val="32"/>
            <w:szCs w:val="32"/>
          </w:rPr>
          <w:t>https://www.biorxiv.org/content/early/2017/06/18/151217</w:t>
        </w:r>
      </w:hyperlink>
    </w:p>
    <w:p w14:paraId="18C88955" w14:textId="77777777" w:rsidR="00252F4B" w:rsidRDefault="00252F4B" w:rsidP="0082435F">
      <w:pPr>
        <w:jc w:val="center"/>
        <w:rPr>
          <w:b/>
          <w:sz w:val="32"/>
          <w:szCs w:val="32"/>
        </w:rPr>
      </w:pPr>
    </w:p>
    <w:p w14:paraId="663E3F50" w14:textId="379CC5E4" w:rsidR="00A37D15" w:rsidRDefault="00A37D15" w:rsidP="00A37D15">
      <w:pPr>
        <w:jc w:val="center"/>
        <w:rPr>
          <w:b/>
          <w:sz w:val="32"/>
          <w:szCs w:val="32"/>
        </w:rPr>
      </w:pPr>
      <w:r>
        <w:rPr>
          <w:b/>
          <w:sz w:val="32"/>
          <w:szCs w:val="32"/>
        </w:rPr>
        <w:t xml:space="preserve">Bioconductor package (iasva): </w:t>
      </w:r>
      <w:hyperlink r:id="rId10" w:history="1">
        <w:r w:rsidRPr="00794732">
          <w:rPr>
            <w:rStyle w:val="Hyperlink"/>
            <w:b/>
            <w:sz w:val="32"/>
            <w:szCs w:val="32"/>
          </w:rPr>
          <w:t>https://www.bioconductor.org/packages/devel/bioc/html/iasva.html</w:t>
        </w:r>
      </w:hyperlink>
    </w:p>
    <w:p w14:paraId="4DAC8119" w14:textId="7D0FDC11" w:rsidR="00550455" w:rsidRPr="00550455" w:rsidRDefault="00B81F56" w:rsidP="00B81F56">
      <w:pPr>
        <w:rPr>
          <w:sz w:val="32"/>
          <w:szCs w:val="32"/>
        </w:rPr>
      </w:pPr>
      <w:r>
        <w:rPr>
          <w:b/>
          <w:sz w:val="32"/>
          <w:szCs w:val="32"/>
        </w:rPr>
        <w:br w:type="page"/>
      </w:r>
    </w:p>
    <w:p w14:paraId="7DB669BA" w14:textId="7DA3DA7B" w:rsidR="00550455" w:rsidRDefault="00920DF3" w:rsidP="00B81F56">
      <w:pPr>
        <w:rPr>
          <w:b/>
          <w:sz w:val="32"/>
          <w:szCs w:val="32"/>
          <w:u w:val="single"/>
        </w:rPr>
      </w:pPr>
      <w:hyperlink w:anchor="Interactive_Tutorial" w:history="1">
        <w:r w:rsidR="007D63A5" w:rsidRPr="00B2434C">
          <w:rPr>
            <w:rStyle w:val="Hyperlink"/>
            <w:b/>
            <w:sz w:val="32"/>
            <w:szCs w:val="32"/>
          </w:rPr>
          <w:t>Interactive Tutorial</w:t>
        </w:r>
      </w:hyperlink>
    </w:p>
    <w:p w14:paraId="68EFA217" w14:textId="77777777" w:rsidR="007D63A5" w:rsidRDefault="007D63A5" w:rsidP="00B81F56">
      <w:pPr>
        <w:rPr>
          <w:b/>
          <w:sz w:val="32"/>
          <w:szCs w:val="32"/>
          <w:u w:val="single"/>
        </w:rPr>
      </w:pPr>
    </w:p>
    <w:p w14:paraId="07C8EEFE" w14:textId="4BF3360D" w:rsidR="002A37E8" w:rsidRPr="005A0F8B" w:rsidRDefault="002A37E8" w:rsidP="00B81F56">
      <w:pPr>
        <w:rPr>
          <w:b/>
          <w:sz w:val="32"/>
          <w:szCs w:val="32"/>
          <w:u w:val="single"/>
        </w:rPr>
      </w:pPr>
      <w:r w:rsidRPr="005A0F8B">
        <w:rPr>
          <w:b/>
          <w:sz w:val="32"/>
          <w:szCs w:val="32"/>
          <w:u w:val="single"/>
        </w:rPr>
        <w:t>Quick Start Guide:</w:t>
      </w:r>
    </w:p>
    <w:p w14:paraId="499BBDD6" w14:textId="0FA243C3" w:rsidR="00816482" w:rsidRDefault="00920DF3" w:rsidP="002A37E8">
      <w:pPr>
        <w:pStyle w:val="ListParagraph"/>
        <w:numPr>
          <w:ilvl w:val="0"/>
          <w:numId w:val="1"/>
        </w:numPr>
        <w:rPr>
          <w:b/>
          <w:sz w:val="32"/>
          <w:szCs w:val="32"/>
        </w:rPr>
      </w:pPr>
      <w:hyperlink w:anchor="Load_Data" w:history="1">
        <w:r w:rsidR="00550EC0" w:rsidRPr="00771797">
          <w:rPr>
            <w:rStyle w:val="Hyperlink"/>
            <w:b/>
            <w:sz w:val="32"/>
            <w:szCs w:val="32"/>
          </w:rPr>
          <w:t>Load Data</w:t>
        </w:r>
      </w:hyperlink>
    </w:p>
    <w:p w14:paraId="5F0E5931" w14:textId="31FA1D6F" w:rsidR="001B5496" w:rsidRDefault="00920DF3" w:rsidP="002A37E8">
      <w:pPr>
        <w:pStyle w:val="ListParagraph"/>
        <w:numPr>
          <w:ilvl w:val="0"/>
          <w:numId w:val="1"/>
        </w:numPr>
        <w:rPr>
          <w:b/>
          <w:sz w:val="32"/>
          <w:szCs w:val="32"/>
        </w:rPr>
      </w:pPr>
      <w:hyperlink w:anchor="Data_Preprocess" w:history="1">
        <w:r w:rsidR="001B5496" w:rsidRPr="00B719B5">
          <w:rPr>
            <w:rStyle w:val="Hyperlink"/>
            <w:b/>
            <w:sz w:val="32"/>
            <w:szCs w:val="32"/>
          </w:rPr>
          <w:t>Data Preprocessing</w:t>
        </w:r>
      </w:hyperlink>
    </w:p>
    <w:p w14:paraId="6385B03A" w14:textId="4AFC6558" w:rsidR="001B5496" w:rsidRDefault="00920DF3" w:rsidP="002A37E8">
      <w:pPr>
        <w:pStyle w:val="ListParagraph"/>
        <w:numPr>
          <w:ilvl w:val="0"/>
          <w:numId w:val="1"/>
        </w:numPr>
        <w:rPr>
          <w:b/>
          <w:sz w:val="32"/>
          <w:szCs w:val="32"/>
        </w:rPr>
      </w:pPr>
      <w:hyperlink w:anchor="Specify_Known_Factors" w:history="1">
        <w:r w:rsidR="00476899" w:rsidRPr="00C85120">
          <w:rPr>
            <w:rStyle w:val="Hyperlink"/>
            <w:b/>
            <w:sz w:val="32"/>
            <w:szCs w:val="32"/>
          </w:rPr>
          <w:t>Specify Known Factors to Adjust For</w:t>
        </w:r>
      </w:hyperlink>
    </w:p>
    <w:p w14:paraId="3B4C5D79" w14:textId="29BD82E7" w:rsidR="003D26B7" w:rsidRDefault="00920DF3" w:rsidP="0052282B">
      <w:pPr>
        <w:pStyle w:val="ListParagraph"/>
        <w:numPr>
          <w:ilvl w:val="0"/>
          <w:numId w:val="1"/>
        </w:numPr>
        <w:rPr>
          <w:b/>
          <w:sz w:val="32"/>
          <w:szCs w:val="32"/>
        </w:rPr>
      </w:pPr>
      <w:hyperlink w:anchor="IASVA_Analysis" w:history="1">
        <w:r w:rsidR="006E6C40" w:rsidRPr="006E6C40">
          <w:rPr>
            <w:rStyle w:val="Hyperlink"/>
            <w:b/>
            <w:sz w:val="32"/>
            <w:szCs w:val="32"/>
          </w:rPr>
          <w:t>IA-SVA Analysis</w:t>
        </w:r>
      </w:hyperlink>
    </w:p>
    <w:p w14:paraId="6653A83D" w14:textId="6FCF297E" w:rsidR="0052282B" w:rsidRDefault="00920DF3" w:rsidP="0052282B">
      <w:pPr>
        <w:pStyle w:val="ListParagraph"/>
        <w:numPr>
          <w:ilvl w:val="0"/>
          <w:numId w:val="1"/>
        </w:numPr>
        <w:rPr>
          <w:b/>
          <w:sz w:val="32"/>
          <w:szCs w:val="32"/>
        </w:rPr>
      </w:pPr>
      <w:hyperlink w:anchor="Data_QC" w:history="1">
        <w:r w:rsidR="0052282B" w:rsidRPr="0052282B">
          <w:rPr>
            <w:rStyle w:val="Hyperlink"/>
            <w:b/>
            <w:sz w:val="32"/>
            <w:szCs w:val="32"/>
          </w:rPr>
          <w:t>Data/QC</w:t>
        </w:r>
      </w:hyperlink>
    </w:p>
    <w:p w14:paraId="1D5C0637" w14:textId="0238D18C" w:rsidR="009054AC" w:rsidRDefault="00920DF3" w:rsidP="0052282B">
      <w:pPr>
        <w:pStyle w:val="ListParagraph"/>
        <w:numPr>
          <w:ilvl w:val="0"/>
          <w:numId w:val="1"/>
        </w:numPr>
        <w:rPr>
          <w:b/>
          <w:sz w:val="32"/>
          <w:szCs w:val="32"/>
        </w:rPr>
      </w:pPr>
      <w:hyperlink w:anchor="Surrogate_Variables" w:history="1">
        <w:r w:rsidR="009054AC" w:rsidRPr="009054AC">
          <w:rPr>
            <w:rStyle w:val="Hyperlink"/>
            <w:b/>
            <w:sz w:val="32"/>
            <w:szCs w:val="32"/>
          </w:rPr>
          <w:t>Surrogate Variables</w:t>
        </w:r>
      </w:hyperlink>
    </w:p>
    <w:p w14:paraId="705F2B81" w14:textId="4E256356" w:rsidR="00974164" w:rsidRDefault="00920DF3" w:rsidP="0052282B">
      <w:pPr>
        <w:pStyle w:val="ListParagraph"/>
        <w:numPr>
          <w:ilvl w:val="0"/>
          <w:numId w:val="1"/>
        </w:numPr>
        <w:rPr>
          <w:b/>
          <w:sz w:val="32"/>
          <w:szCs w:val="32"/>
        </w:rPr>
      </w:pPr>
      <w:hyperlink w:anchor="Pairwise_Surrogate_Variable" w:history="1">
        <w:r w:rsidR="00974164" w:rsidRPr="000362E1">
          <w:rPr>
            <w:rStyle w:val="Hyperlink"/>
            <w:b/>
            <w:sz w:val="32"/>
            <w:szCs w:val="32"/>
          </w:rPr>
          <w:t>Pairwise Surrogate Variable</w:t>
        </w:r>
      </w:hyperlink>
    </w:p>
    <w:p w14:paraId="4AA3E480" w14:textId="397A5A77" w:rsidR="007B32D8" w:rsidRPr="009754A1" w:rsidRDefault="007B32D8" w:rsidP="0052282B">
      <w:pPr>
        <w:pStyle w:val="ListParagraph"/>
        <w:numPr>
          <w:ilvl w:val="0"/>
          <w:numId w:val="1"/>
        </w:numPr>
        <w:rPr>
          <w:rStyle w:val="Hyperlink"/>
          <w:b/>
          <w:color w:val="auto"/>
          <w:sz w:val="32"/>
          <w:szCs w:val="32"/>
          <w:u w:val="none"/>
        </w:rPr>
      </w:pPr>
      <w:r>
        <w:rPr>
          <w:b/>
          <w:sz w:val="32"/>
          <w:szCs w:val="32"/>
        </w:rPr>
        <w:t xml:space="preserve"> </w:t>
      </w:r>
      <w:hyperlink w:anchor="Identify_Marker_Genes" w:history="1">
        <w:r w:rsidRPr="007B32D8">
          <w:rPr>
            <w:rStyle w:val="Hyperlink"/>
            <w:b/>
            <w:sz w:val="32"/>
            <w:szCs w:val="32"/>
          </w:rPr>
          <w:t>Identify Marker Genes</w:t>
        </w:r>
      </w:hyperlink>
    </w:p>
    <w:p w14:paraId="58DA34FF" w14:textId="2441CEB0" w:rsidR="009754A1" w:rsidRPr="009754A1" w:rsidRDefault="009754A1" w:rsidP="009754A1">
      <w:pPr>
        <w:pStyle w:val="ListParagraph"/>
        <w:numPr>
          <w:ilvl w:val="0"/>
          <w:numId w:val="1"/>
        </w:numPr>
        <w:rPr>
          <w:b/>
          <w:sz w:val="32"/>
          <w:szCs w:val="32"/>
        </w:rPr>
      </w:pPr>
      <w:hyperlink w:anchor="Dimension_Reduction_and_Visualization" w:history="1">
        <w:r w:rsidRPr="007D513C">
          <w:rPr>
            <w:rStyle w:val="Hyperlink"/>
            <w:b/>
            <w:sz w:val="32"/>
            <w:szCs w:val="32"/>
          </w:rPr>
          <w:t>Dimension Reduction and Visualization</w:t>
        </w:r>
      </w:hyperlink>
    </w:p>
    <w:p w14:paraId="06CC6D06" w14:textId="19F7FD4A" w:rsidR="00A44A15" w:rsidRDefault="00920DF3" w:rsidP="0052282B">
      <w:pPr>
        <w:pStyle w:val="ListParagraph"/>
        <w:numPr>
          <w:ilvl w:val="0"/>
          <w:numId w:val="1"/>
        </w:numPr>
        <w:rPr>
          <w:b/>
          <w:sz w:val="32"/>
          <w:szCs w:val="32"/>
        </w:rPr>
      </w:pPr>
      <w:hyperlink w:anchor="Gene_Enrichment_Analysis" w:history="1">
        <w:r w:rsidR="00A44A15" w:rsidRPr="00A44A15">
          <w:rPr>
            <w:rStyle w:val="Hyperlink"/>
            <w:b/>
            <w:sz w:val="32"/>
            <w:szCs w:val="32"/>
          </w:rPr>
          <w:t>Gene Enrichment Analysis</w:t>
        </w:r>
      </w:hyperlink>
    </w:p>
    <w:p w14:paraId="609D4B22" w14:textId="77777777" w:rsidR="003D26B7" w:rsidRDefault="003D26B7">
      <w:r>
        <w:br w:type="page"/>
      </w:r>
    </w:p>
    <w:p w14:paraId="52C55A45" w14:textId="7BAAC039" w:rsidR="005C5AE2" w:rsidRDefault="00237FA2">
      <w:pPr>
        <w:rPr>
          <w:b/>
          <w:sz w:val="32"/>
          <w:szCs w:val="32"/>
        </w:rPr>
      </w:pPr>
      <w:bookmarkStart w:id="0" w:name="Interactive_Tutorial"/>
      <w:r>
        <w:rPr>
          <w:b/>
          <w:sz w:val="32"/>
          <w:szCs w:val="32"/>
        </w:rPr>
        <w:t>Interactive Tutorial</w:t>
      </w:r>
      <w:bookmarkEnd w:id="0"/>
    </w:p>
    <w:p w14:paraId="3A9C1A91" w14:textId="77777777" w:rsidR="00237FA2" w:rsidRDefault="00237FA2">
      <w:pPr>
        <w:rPr>
          <w:b/>
          <w:sz w:val="32"/>
          <w:szCs w:val="32"/>
        </w:rPr>
      </w:pPr>
    </w:p>
    <w:p w14:paraId="219D258B" w14:textId="484EFE69" w:rsidR="00237FA2" w:rsidRDefault="00470DA9">
      <w:r>
        <w:t>In addition to this manual, you can choose to have an</w:t>
      </w:r>
      <w:r w:rsidR="00237FA2">
        <w:t xml:space="preserve"> interactive tutorial </w:t>
      </w:r>
      <w:r>
        <w:t>of this app by</w:t>
      </w:r>
      <w:r w:rsidR="00237FA2">
        <w:t xml:space="preserve"> </w:t>
      </w:r>
      <w:r w:rsidR="00F0131E">
        <w:t>launch</w:t>
      </w:r>
      <w:r>
        <w:t>ing</w:t>
      </w:r>
      <w:r w:rsidR="00F0131E">
        <w:t xml:space="preserve"> the app and </w:t>
      </w:r>
      <w:r w:rsidR="00237FA2">
        <w:t>click</w:t>
      </w:r>
      <w:r>
        <w:t>ing</w:t>
      </w:r>
      <w:r w:rsidR="00237FA2">
        <w:t xml:space="preserve"> this button near the top left of your webpage:</w:t>
      </w:r>
    </w:p>
    <w:p w14:paraId="26820C9F" w14:textId="77777777" w:rsidR="00237FA2" w:rsidRDefault="00237FA2"/>
    <w:p w14:paraId="1722C3E9" w14:textId="43D0256C" w:rsidR="00237FA2" w:rsidRPr="00237FA2" w:rsidRDefault="00BF2700">
      <w:r>
        <w:rPr>
          <w:noProof/>
        </w:rPr>
        <mc:AlternateContent>
          <mc:Choice Requires="wps">
            <w:drawing>
              <wp:anchor distT="0" distB="0" distL="114300" distR="114300" simplePos="0" relativeHeight="251659264" behindDoc="0" locked="0" layoutInCell="1" allowOverlap="1" wp14:anchorId="389656DD" wp14:editId="77E02E85">
                <wp:simplePos x="0" y="0"/>
                <wp:positionH relativeFrom="column">
                  <wp:posOffset>-228600</wp:posOffset>
                </wp:positionH>
                <wp:positionV relativeFrom="paragraph">
                  <wp:posOffset>378460</wp:posOffset>
                </wp:positionV>
                <wp:extent cx="342900" cy="0"/>
                <wp:effectExtent l="0" t="101600" r="38100" b="177800"/>
                <wp:wrapNone/>
                <wp:docPr id="4" name="Straight Arrow Connector 4"/>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 o:spid="_x0000_s1026" type="#_x0000_t32" style="position:absolute;margin-left:-17.95pt;margin-top:29.8pt;width:2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" strokecolor="red" strokeweight="2pt">
                <v:stroke endarrow="open"/>
                <v:shadow on="t" opacity="24903f" mv:blur="40000f" origin=",.5" offset="0,20000emu"/>
              </v:shape>
            </w:pict>
          </mc:Fallback>
        </mc:AlternateContent>
      </w:r>
      <w:r w:rsidR="00A37D15" w:rsidRPr="00A37D15">
        <w:t xml:space="preserve"> </w:t>
      </w:r>
      <w:r w:rsidR="00A37D15">
        <w:rPr>
          <w:noProof/>
        </w:rPr>
        <w:drawing>
          <wp:inline distT="0" distB="0" distL="0" distR="0" wp14:anchorId="61FEE458" wp14:editId="0C4CBC72">
            <wp:extent cx="5486400" cy="442251"/>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42251"/>
                    </a:xfrm>
                    <a:prstGeom prst="rect">
                      <a:avLst/>
                    </a:prstGeom>
                    <a:noFill/>
                    <a:ln>
                      <a:noFill/>
                    </a:ln>
                  </pic:spPr>
                </pic:pic>
              </a:graphicData>
            </a:graphic>
          </wp:inline>
        </w:drawing>
      </w:r>
    </w:p>
    <w:p w14:paraId="24B5F8E6" w14:textId="41B2FF68" w:rsidR="00237FA2" w:rsidRDefault="00237FA2">
      <w:pPr>
        <w:rPr>
          <w:b/>
          <w:sz w:val="32"/>
          <w:szCs w:val="32"/>
        </w:rPr>
      </w:pPr>
    </w:p>
    <w:p w14:paraId="6456FC28" w14:textId="01FA0955" w:rsidR="000B1E07" w:rsidRDefault="000B1E07">
      <w:r>
        <w:t>Upon clicking this button, the tutorial should begin and you should see this:</w:t>
      </w:r>
    </w:p>
    <w:p w14:paraId="52E04D15" w14:textId="77777777" w:rsidR="000B1E07" w:rsidRDefault="000B1E07">
      <w:pPr>
        <w:rPr>
          <w:b/>
          <w:sz w:val="32"/>
          <w:szCs w:val="32"/>
        </w:rPr>
      </w:pPr>
    </w:p>
    <w:p w14:paraId="11B3F97B" w14:textId="3682B037" w:rsidR="00237FA2" w:rsidRDefault="00E87E3F">
      <w:pPr>
        <w:rPr>
          <w:b/>
          <w:sz w:val="32"/>
          <w:szCs w:val="32"/>
        </w:rPr>
      </w:pPr>
      <w:r>
        <w:rPr>
          <w:b/>
          <w:noProof/>
          <w:sz w:val="32"/>
          <w:szCs w:val="32"/>
        </w:rPr>
        <w:drawing>
          <wp:inline distT="0" distB="0" distL="0" distR="0" wp14:anchorId="54099447" wp14:editId="288046F1">
            <wp:extent cx="5486400" cy="1231059"/>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231059"/>
                    </a:xfrm>
                    <a:prstGeom prst="rect">
                      <a:avLst/>
                    </a:prstGeom>
                    <a:noFill/>
                    <a:ln>
                      <a:noFill/>
                    </a:ln>
                  </pic:spPr>
                </pic:pic>
              </a:graphicData>
            </a:graphic>
          </wp:inline>
        </w:drawing>
      </w:r>
    </w:p>
    <w:p w14:paraId="7824E96C" w14:textId="77777777" w:rsidR="005C5AE2" w:rsidRDefault="005C5AE2">
      <w:pPr>
        <w:rPr>
          <w:b/>
          <w:sz w:val="32"/>
          <w:szCs w:val="32"/>
        </w:rPr>
      </w:pPr>
    </w:p>
    <w:p w14:paraId="323312DC" w14:textId="2B088CDE" w:rsidR="000B1E07" w:rsidRDefault="000B1E07" w:rsidP="000B1E07">
      <w:r>
        <w:t xml:space="preserve">Navigate through this </w:t>
      </w:r>
      <w:r w:rsidR="00F0131E">
        <w:t>tutorial using the “Next Step” and “Previous Step” buttons. To exit out of this tutorial, click the “Quit” button or anywhere outside of the</w:t>
      </w:r>
      <w:r w:rsidR="00BF2700">
        <w:t xml:space="preserve"> white</w:t>
      </w:r>
      <w:r w:rsidR="00F0131E">
        <w:t xml:space="preserve"> boxes.</w:t>
      </w:r>
    </w:p>
    <w:p w14:paraId="3B1BC4B4" w14:textId="77777777" w:rsidR="005C5AE2" w:rsidRDefault="005C5AE2">
      <w:pPr>
        <w:rPr>
          <w:b/>
          <w:sz w:val="32"/>
          <w:szCs w:val="32"/>
        </w:rPr>
      </w:pPr>
    </w:p>
    <w:p w14:paraId="7044A82A" w14:textId="77777777" w:rsidR="000B1E07" w:rsidRDefault="000B1E07">
      <w:pPr>
        <w:rPr>
          <w:b/>
          <w:sz w:val="32"/>
          <w:szCs w:val="32"/>
        </w:rPr>
      </w:pPr>
    </w:p>
    <w:p w14:paraId="38A7E8E4" w14:textId="1133DEFE" w:rsidR="0094005F" w:rsidRDefault="00550EC0" w:rsidP="002A37E8">
      <w:pPr>
        <w:pStyle w:val="ListParagraph"/>
        <w:numPr>
          <w:ilvl w:val="0"/>
          <w:numId w:val="5"/>
        </w:numPr>
        <w:rPr>
          <w:b/>
          <w:sz w:val="32"/>
          <w:szCs w:val="32"/>
        </w:rPr>
      </w:pPr>
      <w:bookmarkStart w:id="1" w:name="Load_Data"/>
      <w:r>
        <w:rPr>
          <w:b/>
          <w:sz w:val="32"/>
          <w:szCs w:val="32"/>
        </w:rPr>
        <w:t>Load Data</w:t>
      </w:r>
    </w:p>
    <w:bookmarkEnd w:id="1"/>
    <w:p w14:paraId="2773299C" w14:textId="77777777" w:rsidR="005C5AE2" w:rsidRDefault="005C5AE2" w:rsidP="005C5AE2">
      <w:pPr>
        <w:rPr>
          <w:b/>
          <w:sz w:val="32"/>
          <w:szCs w:val="32"/>
        </w:rPr>
      </w:pPr>
    </w:p>
    <w:p w14:paraId="0C43BE48" w14:textId="6D752E00" w:rsidR="00562315" w:rsidRDefault="009B091B" w:rsidP="005C5AE2">
      <w:r>
        <w:t xml:space="preserve">In the first section of the app, </w:t>
      </w:r>
      <w:r w:rsidR="00562315">
        <w:t>the user must provide 2 input files:</w:t>
      </w:r>
    </w:p>
    <w:p w14:paraId="1A6345B0" w14:textId="4F61F915" w:rsidR="00562315" w:rsidRDefault="00562315" w:rsidP="00562315">
      <w:pPr>
        <w:pStyle w:val="ListParagraph"/>
        <w:numPr>
          <w:ilvl w:val="0"/>
          <w:numId w:val="25"/>
        </w:numPr>
      </w:pPr>
      <w:r>
        <w:t>A file containing gene expression/ADT level data, typically in matrix format. The matrix should be formatted so that rows represent the genes/markers and the columns represent the samples.</w:t>
      </w:r>
      <w:r w:rsidR="00CA4E25">
        <w:t xml:space="preserve"> For information about the exact file format of the expression data, please see the example data provided (information about downloading below).</w:t>
      </w:r>
    </w:p>
    <w:p w14:paraId="34E56B47" w14:textId="23526E24" w:rsidR="00562315" w:rsidRDefault="00562315" w:rsidP="00CA4E25">
      <w:pPr>
        <w:pStyle w:val="ListParagraph"/>
        <w:numPr>
          <w:ilvl w:val="0"/>
          <w:numId w:val="25"/>
        </w:numPr>
      </w:pPr>
      <w:r>
        <w:t>A file containing sample metadata, typically in matrix format. The matrix should be formatted so that each row represents a sample and the columns represent different metadata variables (e.g., age, gender, disease state, etc.).</w:t>
      </w:r>
      <w:r w:rsidR="00CA4E25">
        <w:t xml:space="preserve"> For information about the exact file format of the sample metadata, please see the example data provided (information about downloading below).</w:t>
      </w:r>
    </w:p>
    <w:p w14:paraId="1C787BCE" w14:textId="77777777" w:rsidR="00155BF9" w:rsidRDefault="00155BF9" w:rsidP="00155BF9"/>
    <w:p w14:paraId="7AA5D9C0" w14:textId="10E4B593" w:rsidR="00155BF9" w:rsidRDefault="00155BF9" w:rsidP="00155BF9">
      <w:r>
        <w:t xml:space="preserve">For convenience, an example gene expression and sample metadata set (human peripheral blood mononuclear cells (PBMCs) from Kang et al. 2017: </w:t>
      </w:r>
      <w:hyperlink r:id="rId13" w:history="1">
        <w:r w:rsidRPr="00CE6807">
          <w:rPr>
            <w:rStyle w:val="Hyperlink"/>
          </w:rPr>
          <w:t>https://www.nature.com/articles/nbt.4042</w:t>
        </w:r>
      </w:hyperlink>
      <w:r>
        <w:t>) are provided an</w:t>
      </w:r>
      <w:r w:rsidR="00805383">
        <w:t>d are</w:t>
      </w:r>
      <w:r>
        <w:t xml:space="preserve"> available for download by clicking the two buttons near the top left corner of the app:</w:t>
      </w:r>
    </w:p>
    <w:p w14:paraId="0FE34B95" w14:textId="77777777" w:rsidR="00155BF9" w:rsidRDefault="00155BF9" w:rsidP="00155BF9"/>
    <w:p w14:paraId="6F5ABA01" w14:textId="54AAF709" w:rsidR="00155BF9" w:rsidRDefault="00155BF9" w:rsidP="00155BF9">
      <w:r>
        <w:rPr>
          <w:noProof/>
        </w:rPr>
        <w:drawing>
          <wp:inline distT="0" distB="0" distL="0" distR="0" wp14:anchorId="78E00E2D" wp14:editId="1FEFFC33">
            <wp:extent cx="3310890" cy="103949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890" cy="1039495"/>
                    </a:xfrm>
                    <a:prstGeom prst="rect">
                      <a:avLst/>
                    </a:prstGeom>
                    <a:noFill/>
                    <a:ln>
                      <a:noFill/>
                    </a:ln>
                  </pic:spPr>
                </pic:pic>
              </a:graphicData>
            </a:graphic>
          </wp:inline>
        </w:drawing>
      </w:r>
    </w:p>
    <w:p w14:paraId="65947E4D" w14:textId="77777777" w:rsidR="00155BF9" w:rsidRDefault="00155BF9" w:rsidP="00155BF9"/>
    <w:p w14:paraId="577ABAF6" w14:textId="341FEBA2" w:rsidR="00562315" w:rsidRDefault="00410112" w:rsidP="005C5AE2">
      <w:r>
        <w:t>These two example files are .csv</w:t>
      </w:r>
      <w:r w:rsidR="00CA4E25">
        <w:t xml:space="preserve"> files and may be uploaded in the next steps to test out the app. </w:t>
      </w:r>
    </w:p>
    <w:p w14:paraId="28DFC394" w14:textId="77777777" w:rsidR="00CA4E25" w:rsidRDefault="00CA4E25" w:rsidP="005C5AE2"/>
    <w:p w14:paraId="56FDDCDA" w14:textId="2554D3FE" w:rsidR="00336195" w:rsidRDefault="00336195" w:rsidP="005C5AE2">
      <w:r>
        <w:t xml:space="preserve">Users may upload </w:t>
      </w:r>
      <w:r w:rsidR="00E16ACA">
        <w:t>their own expression and metadata</w:t>
      </w:r>
      <w:r>
        <w:t xml:space="preserve"> files</w:t>
      </w:r>
      <w:r w:rsidR="00E16ACA">
        <w:t xml:space="preserve"> (or the downloaded test files)</w:t>
      </w:r>
      <w:r>
        <w:t xml:space="preserve"> by clicking the “Browse” buttons pictured below:</w:t>
      </w:r>
    </w:p>
    <w:p w14:paraId="3DD3EB30" w14:textId="77777777" w:rsidR="00155BF9" w:rsidRDefault="00155BF9" w:rsidP="005C5AE2"/>
    <w:p w14:paraId="113C563F" w14:textId="1D38A288" w:rsidR="005C5AE2" w:rsidRDefault="00550EC0" w:rsidP="005C5AE2">
      <w:r>
        <w:rPr>
          <w:noProof/>
        </w:rPr>
        <w:drawing>
          <wp:inline distT="0" distB="0" distL="0" distR="0" wp14:anchorId="54604DEC" wp14:editId="50519C44">
            <wp:extent cx="5486400" cy="2132784"/>
            <wp:effectExtent l="0" t="0" r="0" b="127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32784"/>
                    </a:xfrm>
                    <a:prstGeom prst="rect">
                      <a:avLst/>
                    </a:prstGeom>
                    <a:noFill/>
                    <a:ln>
                      <a:noFill/>
                    </a:ln>
                  </pic:spPr>
                </pic:pic>
              </a:graphicData>
            </a:graphic>
          </wp:inline>
        </w:drawing>
      </w:r>
      <w:r w:rsidR="009B091B">
        <w:t xml:space="preserve"> </w:t>
      </w:r>
    </w:p>
    <w:p w14:paraId="41E52C07" w14:textId="77777777" w:rsidR="009B091B" w:rsidRDefault="009B091B" w:rsidP="005C5AE2"/>
    <w:p w14:paraId="615EA299" w14:textId="12CA3891" w:rsidR="00D83A53" w:rsidRPr="00AA7519" w:rsidRDefault="00D83A53" w:rsidP="00D83A53">
      <w:r w:rsidRPr="00D83A53">
        <w:t xml:space="preserve">Input files must be in the format of either: </w:t>
      </w:r>
      <w:r w:rsidRPr="00D83A53">
        <w:rPr>
          <w:rFonts w:eastAsia="Times New Roman"/>
          <w:shd w:val="clear" w:color="auto" w:fill="FFFFFF"/>
        </w:rPr>
        <w:t xml:space="preserve">.Rds, tab-delimited text, </w:t>
      </w:r>
      <w:r>
        <w:rPr>
          <w:rFonts w:eastAsia="Times New Roman"/>
          <w:shd w:val="clear" w:color="auto" w:fill="FFFFFF"/>
        </w:rPr>
        <w:t xml:space="preserve">or </w:t>
      </w:r>
      <w:r w:rsidRPr="00D83A53">
        <w:rPr>
          <w:rFonts w:eastAsia="Times New Roman"/>
          <w:shd w:val="clear" w:color="auto" w:fill="FFFFFF"/>
        </w:rPr>
        <w:t>.csv</w:t>
      </w:r>
      <w:r w:rsidR="005405CE">
        <w:rPr>
          <w:rFonts w:eastAsia="Times New Roman"/>
          <w:shd w:val="clear" w:color="auto" w:fill="FFFFFF"/>
        </w:rPr>
        <w:t xml:space="preserve">. Currently, the maximum </w:t>
      </w:r>
      <w:r w:rsidR="00AA7519">
        <w:rPr>
          <w:rFonts w:eastAsia="Times New Roman"/>
          <w:shd w:val="clear" w:color="auto" w:fill="FFFFFF"/>
        </w:rPr>
        <w:t>size for input files is 2GB.</w:t>
      </w:r>
    </w:p>
    <w:p w14:paraId="711F6177" w14:textId="77777777" w:rsidR="009B091B" w:rsidRDefault="009B091B" w:rsidP="005C5AE2"/>
    <w:p w14:paraId="150FF65B" w14:textId="1AECF3B4" w:rsidR="002D62C1" w:rsidRDefault="002D62C1" w:rsidP="005C5AE2">
      <w:r>
        <w:t>Upon successful loading of your input files, the user interface should look like this:</w:t>
      </w:r>
    </w:p>
    <w:p w14:paraId="5D1023EF" w14:textId="77777777" w:rsidR="00542FCF" w:rsidRDefault="00542FCF" w:rsidP="005C5AE2"/>
    <w:p w14:paraId="3BAA9A44" w14:textId="7D4D2317" w:rsidR="002D62C1" w:rsidRDefault="002D62C1" w:rsidP="005C5AE2">
      <w:r>
        <w:rPr>
          <w:noProof/>
        </w:rPr>
        <w:drawing>
          <wp:inline distT="0" distB="0" distL="0" distR="0" wp14:anchorId="52EDDF40" wp14:editId="2A21AC9F">
            <wp:extent cx="5486400" cy="2321622"/>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21622"/>
                    </a:xfrm>
                    <a:prstGeom prst="rect">
                      <a:avLst/>
                    </a:prstGeom>
                    <a:noFill/>
                    <a:ln>
                      <a:noFill/>
                    </a:ln>
                  </pic:spPr>
                </pic:pic>
              </a:graphicData>
            </a:graphic>
          </wp:inline>
        </w:drawing>
      </w:r>
    </w:p>
    <w:p w14:paraId="206AC8EB" w14:textId="77777777" w:rsidR="002D62C1" w:rsidRDefault="002D62C1" w:rsidP="005C5AE2"/>
    <w:p w14:paraId="19CDC29A" w14:textId="1D9F3AF5" w:rsidR="001B5496" w:rsidRPr="001B5496" w:rsidRDefault="001B5496" w:rsidP="001B5496">
      <w:pPr>
        <w:pStyle w:val="ListParagraph"/>
        <w:numPr>
          <w:ilvl w:val="0"/>
          <w:numId w:val="5"/>
        </w:numPr>
        <w:rPr>
          <w:b/>
          <w:sz w:val="32"/>
          <w:szCs w:val="32"/>
        </w:rPr>
      </w:pPr>
      <w:bookmarkStart w:id="2" w:name="Data_Preprocess"/>
      <w:r w:rsidRPr="001B5496">
        <w:rPr>
          <w:b/>
          <w:sz w:val="32"/>
          <w:szCs w:val="32"/>
        </w:rPr>
        <w:t>Data Preprocessing</w:t>
      </w:r>
      <w:bookmarkEnd w:id="2"/>
    </w:p>
    <w:p w14:paraId="6AB2C827" w14:textId="77777777" w:rsidR="0063025A" w:rsidRDefault="0063025A" w:rsidP="0063025A">
      <w:pPr>
        <w:rPr>
          <w:b/>
          <w:sz w:val="32"/>
          <w:szCs w:val="32"/>
        </w:rPr>
      </w:pPr>
    </w:p>
    <w:p w14:paraId="6F9997A4" w14:textId="0B4EB63C" w:rsidR="0063025A" w:rsidRDefault="000B3B6C" w:rsidP="0063025A">
      <w:r>
        <w:t>After providing input files, the users have the choice of further pre-processing their data. Specifically, there is a step to remove lowly expressed/detected genes</w:t>
      </w:r>
      <w:r w:rsidR="00024FC6">
        <w:t xml:space="preserve"> from the input matrix. </w:t>
      </w:r>
      <w:r w:rsidR="008A3D30">
        <w:t xml:space="preserve">By default, the app is set to </w:t>
      </w:r>
      <w:r w:rsidR="0043435C">
        <w:t>ke</w:t>
      </w:r>
      <w:r w:rsidR="008A3D30">
        <w:t>e</w:t>
      </w:r>
      <w:r w:rsidR="0043435C">
        <w:t>p</w:t>
      </w:r>
      <w:r w:rsidR="008A3D30">
        <w:t xml:space="preserve"> </w:t>
      </w:r>
      <w:r w:rsidR="0043435C">
        <w:t xml:space="preserve">genes with </w:t>
      </w:r>
      <w:r w:rsidR="008A3D30">
        <w:t xml:space="preserve">5 </w:t>
      </w:r>
      <w:r w:rsidR="0043435C">
        <w:t xml:space="preserve">or more read counts in </w:t>
      </w:r>
      <w:r w:rsidR="008A3D30">
        <w:t xml:space="preserve">5 </w:t>
      </w:r>
      <w:r w:rsidR="0043435C">
        <w:t xml:space="preserve">or more </w:t>
      </w:r>
      <w:r w:rsidR="008A3D30">
        <w:t xml:space="preserve">different cells/samples. </w:t>
      </w:r>
    </w:p>
    <w:p w14:paraId="073F8EEB" w14:textId="77777777" w:rsidR="006F64BC" w:rsidRDefault="006F64BC" w:rsidP="0063025A"/>
    <w:p w14:paraId="24CEF05F" w14:textId="45E202A7" w:rsidR="006F64BC" w:rsidRPr="006F64BC" w:rsidRDefault="00024FC6" w:rsidP="0063025A">
      <w:r>
        <w:rPr>
          <w:noProof/>
        </w:rPr>
        <w:drawing>
          <wp:inline distT="0" distB="0" distL="0" distR="0" wp14:anchorId="0FC7A2DF" wp14:editId="77CED28D">
            <wp:extent cx="5486400" cy="1324174"/>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324174"/>
                    </a:xfrm>
                    <a:prstGeom prst="rect">
                      <a:avLst/>
                    </a:prstGeom>
                    <a:noFill/>
                    <a:ln>
                      <a:noFill/>
                    </a:ln>
                  </pic:spPr>
                </pic:pic>
              </a:graphicData>
            </a:graphic>
          </wp:inline>
        </w:drawing>
      </w:r>
    </w:p>
    <w:p w14:paraId="3244E757" w14:textId="77777777" w:rsidR="00A43EF3" w:rsidRDefault="008A3D30">
      <w:r>
        <w:t>Users are able to adjust these values. Another example is as follows:</w:t>
      </w:r>
      <w:r w:rsidRPr="008A3D30">
        <w:t xml:space="preserve"> </w:t>
      </w:r>
    </w:p>
    <w:p w14:paraId="770A690E" w14:textId="77777777" w:rsidR="00A43EF3" w:rsidRDefault="00A43EF3"/>
    <w:p w14:paraId="14D40F7E" w14:textId="186BB4F9" w:rsidR="008A3D30" w:rsidRDefault="008A3D30">
      <w:r>
        <w:rPr>
          <w:noProof/>
        </w:rPr>
        <w:drawing>
          <wp:inline distT="0" distB="0" distL="0" distR="0" wp14:anchorId="09464CBE" wp14:editId="114C0C01">
            <wp:extent cx="5438140" cy="1337945"/>
            <wp:effectExtent l="0" t="0" r="0" b="825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140" cy="1337945"/>
                    </a:xfrm>
                    <a:prstGeom prst="rect">
                      <a:avLst/>
                    </a:prstGeom>
                    <a:noFill/>
                    <a:ln>
                      <a:noFill/>
                    </a:ln>
                  </pic:spPr>
                </pic:pic>
              </a:graphicData>
            </a:graphic>
          </wp:inline>
        </w:drawing>
      </w:r>
    </w:p>
    <w:p w14:paraId="26631C8E" w14:textId="77777777" w:rsidR="008A3D30" w:rsidRDefault="008A3D30"/>
    <w:p w14:paraId="21565B12" w14:textId="77777777" w:rsidR="004A4576" w:rsidRDefault="008A3D30">
      <w:r>
        <w:t xml:space="preserve">This example would </w:t>
      </w:r>
      <w:r w:rsidR="0043435C">
        <w:t xml:space="preserve">keep genes with 10 or more read counts in 3 or more different cells/samples. </w:t>
      </w:r>
    </w:p>
    <w:p w14:paraId="5A5060CA" w14:textId="77777777" w:rsidR="00A5699C" w:rsidRDefault="00A5699C"/>
    <w:p w14:paraId="434B4DE0" w14:textId="217418DD" w:rsidR="008A3D30" w:rsidRPr="004A4576" w:rsidRDefault="004A4576">
      <w:pPr>
        <w:rPr>
          <w:b/>
        </w:rPr>
      </w:pPr>
      <w:r>
        <w:rPr>
          <w:b/>
        </w:rPr>
        <w:t xml:space="preserve">Note: </w:t>
      </w:r>
      <w:r w:rsidRPr="004A4576">
        <w:rPr>
          <w:b/>
        </w:rPr>
        <w:t xml:space="preserve">If users do not want to </w:t>
      </w:r>
      <w:r>
        <w:rPr>
          <w:b/>
        </w:rPr>
        <w:t>filter any genes, both values can be set to zero.</w:t>
      </w:r>
    </w:p>
    <w:p w14:paraId="3AF75F7F" w14:textId="05CD283B" w:rsidR="008A3D30" w:rsidRDefault="004A4576">
      <w:r>
        <w:t>In addition, the user may choose one of 4 normalization options:</w:t>
      </w:r>
    </w:p>
    <w:p w14:paraId="6FD35850" w14:textId="3CD94878" w:rsidR="004A4576" w:rsidRDefault="004A4576" w:rsidP="004A4576">
      <w:pPr>
        <w:pStyle w:val="ListParagraph"/>
        <w:numPr>
          <w:ilvl w:val="0"/>
          <w:numId w:val="27"/>
        </w:numPr>
      </w:pPr>
      <w:r>
        <w:t xml:space="preserve">CPM = counts per million. This method from the “edgeR” </w:t>
      </w:r>
      <w:r w:rsidR="009B5A06">
        <w:t xml:space="preserve">R </w:t>
      </w:r>
      <w:r>
        <w:t>package normalizes gene counts by the sample’s total counts and a scaling factor of one million.</w:t>
      </w:r>
    </w:p>
    <w:p w14:paraId="31AA1982" w14:textId="201449E2" w:rsidR="004A4576" w:rsidRDefault="009B5A06" w:rsidP="004A4576">
      <w:pPr>
        <w:pStyle w:val="ListParagraph"/>
        <w:numPr>
          <w:ilvl w:val="0"/>
          <w:numId w:val="27"/>
        </w:numPr>
      </w:pPr>
      <w:r>
        <w:t>Quantile = quantile normalization as implemented in the “preprocessCore” R package via the normalize.quantiles() function.</w:t>
      </w:r>
    </w:p>
    <w:p w14:paraId="77F57EF4" w14:textId="403D4A93" w:rsidR="009B5A06" w:rsidRDefault="003C4FF1" w:rsidP="004A4576">
      <w:pPr>
        <w:pStyle w:val="ListParagraph"/>
        <w:numPr>
          <w:ilvl w:val="0"/>
          <w:numId w:val="27"/>
        </w:numPr>
      </w:pPr>
      <w:r>
        <w:t>scran = single cell RNA-seq normalization method by deconvolving size factors from cell pools. This method from the “scran” R package normalizes gene counts using the computeSumFactors() function.</w:t>
      </w:r>
    </w:p>
    <w:p w14:paraId="408EC58B" w14:textId="5225F40A" w:rsidR="003C4FF1" w:rsidRDefault="002D62C1" w:rsidP="004A4576">
      <w:pPr>
        <w:pStyle w:val="ListParagraph"/>
        <w:numPr>
          <w:ilvl w:val="0"/>
          <w:numId w:val="27"/>
        </w:numPr>
      </w:pPr>
      <w:r>
        <w:t>None = no normalization applied to the data.</w:t>
      </w:r>
    </w:p>
    <w:p w14:paraId="085C9C4F" w14:textId="77777777" w:rsidR="008A3D30" w:rsidRDefault="008A3D30"/>
    <w:p w14:paraId="0DAE94EB" w14:textId="53B6E5AF" w:rsidR="00336221" w:rsidRPr="00336221" w:rsidRDefault="00475BE0" w:rsidP="00336221">
      <w:pPr>
        <w:pStyle w:val="ListParagraph"/>
        <w:numPr>
          <w:ilvl w:val="0"/>
          <w:numId w:val="5"/>
        </w:numPr>
        <w:rPr>
          <w:b/>
          <w:sz w:val="32"/>
          <w:szCs w:val="32"/>
        </w:rPr>
      </w:pPr>
      <w:bookmarkStart w:id="3" w:name="Specify_Known_Factors"/>
      <w:r w:rsidRPr="00475BE0">
        <w:rPr>
          <w:b/>
          <w:sz w:val="32"/>
          <w:szCs w:val="32"/>
        </w:rPr>
        <w:t>Specify Known Factors to Adjust For</w:t>
      </w:r>
      <w:bookmarkEnd w:id="3"/>
    </w:p>
    <w:p w14:paraId="7D93C459" w14:textId="77777777" w:rsidR="00336221" w:rsidRDefault="00336221" w:rsidP="00336221"/>
    <w:p w14:paraId="3A837203" w14:textId="75B2B068" w:rsidR="00516E7E" w:rsidRDefault="00065267" w:rsidP="00336221">
      <w:r>
        <w:t xml:space="preserve">After loading the metadata input file, users will then be able to decide which known metadata variables should be </w:t>
      </w:r>
      <w:r w:rsidR="00D102CF">
        <w:t>adjusted</w:t>
      </w:r>
      <w:r>
        <w:t xml:space="preserve"> for </w:t>
      </w:r>
      <w:r w:rsidR="00D102CF">
        <w:t xml:space="preserve">in the downstream analyses. </w:t>
      </w:r>
    </w:p>
    <w:p w14:paraId="0CB0CCEF" w14:textId="77777777" w:rsidR="00D102CF" w:rsidRDefault="00D102CF" w:rsidP="00336221"/>
    <w:p w14:paraId="63267FD6" w14:textId="7B895624" w:rsidR="00D102CF" w:rsidRDefault="00D102CF" w:rsidP="00336221">
      <w:pPr>
        <w:rPr>
          <w:b/>
        </w:rPr>
      </w:pPr>
      <w:r>
        <w:rPr>
          <w:b/>
        </w:rPr>
        <w:t>Note if no metadata input file was uploaded, you will be unable to proceed past Step 3 and the “Known Factors” box will be empty as follows:</w:t>
      </w:r>
    </w:p>
    <w:p w14:paraId="66D459E3" w14:textId="77777777" w:rsidR="00D102CF" w:rsidRDefault="00D102CF" w:rsidP="00336221">
      <w:pPr>
        <w:rPr>
          <w:b/>
        </w:rPr>
      </w:pPr>
    </w:p>
    <w:p w14:paraId="5EBAACDF" w14:textId="0875E8B5" w:rsidR="00D102CF" w:rsidRPr="00D102CF" w:rsidRDefault="00D102CF" w:rsidP="00336221">
      <w:pPr>
        <w:rPr>
          <w:b/>
        </w:rPr>
      </w:pPr>
      <w:r>
        <w:rPr>
          <w:b/>
          <w:noProof/>
        </w:rPr>
        <w:drawing>
          <wp:inline distT="0" distB="0" distL="0" distR="0" wp14:anchorId="2F1D93EA" wp14:editId="488DF17B">
            <wp:extent cx="4851400" cy="1337945"/>
            <wp:effectExtent l="0" t="0" r="0" b="825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400" cy="1337945"/>
                    </a:xfrm>
                    <a:prstGeom prst="rect">
                      <a:avLst/>
                    </a:prstGeom>
                    <a:noFill/>
                    <a:ln>
                      <a:noFill/>
                    </a:ln>
                  </pic:spPr>
                </pic:pic>
              </a:graphicData>
            </a:graphic>
          </wp:inline>
        </w:drawing>
      </w:r>
    </w:p>
    <w:p w14:paraId="77A252C1" w14:textId="77777777" w:rsidR="00336221" w:rsidRDefault="00336221" w:rsidP="00D102CF">
      <w:pPr>
        <w:rPr>
          <w:b/>
          <w:sz w:val="32"/>
          <w:szCs w:val="32"/>
        </w:rPr>
      </w:pPr>
    </w:p>
    <w:p w14:paraId="082FE9E0" w14:textId="13309522" w:rsidR="00D102CF" w:rsidRDefault="00D102CF" w:rsidP="00D102CF">
      <w:r>
        <w:t>However, once a metadata file is successfully uploaded, clicking on the “Known Factors” box should display all of the metadata variables specified in that file. In the example test.metadata.Rds file, the following Known Factors are as follows:</w:t>
      </w:r>
    </w:p>
    <w:p w14:paraId="7AA7D202" w14:textId="77777777" w:rsidR="00D102CF" w:rsidRDefault="00D102CF" w:rsidP="00D102CF"/>
    <w:p w14:paraId="3163B63D" w14:textId="0F2F2725" w:rsidR="00D102CF" w:rsidRPr="00D102CF" w:rsidRDefault="00D102CF" w:rsidP="00D102CF">
      <w:r>
        <w:rPr>
          <w:noProof/>
        </w:rPr>
        <w:drawing>
          <wp:inline distT="0" distB="0" distL="0" distR="0" wp14:anchorId="10FD08F5" wp14:editId="113090C9">
            <wp:extent cx="5293995" cy="3743960"/>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3995" cy="3743960"/>
                    </a:xfrm>
                    <a:prstGeom prst="rect">
                      <a:avLst/>
                    </a:prstGeom>
                    <a:noFill/>
                    <a:ln>
                      <a:noFill/>
                    </a:ln>
                  </pic:spPr>
                </pic:pic>
              </a:graphicData>
            </a:graphic>
          </wp:inline>
        </w:drawing>
      </w:r>
    </w:p>
    <w:p w14:paraId="34ABB1D3" w14:textId="77777777" w:rsidR="00516E7E" w:rsidRDefault="00516E7E" w:rsidP="00D102CF">
      <w:pPr>
        <w:rPr>
          <w:b/>
          <w:sz w:val="32"/>
          <w:szCs w:val="32"/>
        </w:rPr>
      </w:pPr>
    </w:p>
    <w:p w14:paraId="3F02F402" w14:textId="65962540" w:rsidR="00D102CF" w:rsidRDefault="008D01EF" w:rsidP="00D102CF">
      <w:r>
        <w:t xml:space="preserve">Note that the names of these known factors will be displayed as they are exactly provided in the metadata file. </w:t>
      </w:r>
    </w:p>
    <w:p w14:paraId="15D032D5" w14:textId="77777777" w:rsidR="00530826" w:rsidRDefault="00530826" w:rsidP="00D102CF"/>
    <w:p w14:paraId="6F3ADD4F" w14:textId="49230959" w:rsidR="00530826" w:rsidRDefault="00530826" w:rsidP="00D102CF">
      <w:r>
        <w:t>Select a known factor to adjust for that variable in the downstream analysis. Users may choose multiple known factors (in this example, I chose the “Donor” and “nGene” variables:</w:t>
      </w:r>
    </w:p>
    <w:p w14:paraId="4E9D3A8A" w14:textId="77777777" w:rsidR="00530826" w:rsidRDefault="00530826" w:rsidP="00D102CF"/>
    <w:p w14:paraId="0338DC6F" w14:textId="7B6FEEF9" w:rsidR="00530826" w:rsidRDefault="00530826" w:rsidP="00D102CF">
      <w:r>
        <w:rPr>
          <w:noProof/>
        </w:rPr>
        <w:drawing>
          <wp:inline distT="0" distB="0" distL="0" distR="0" wp14:anchorId="3426D90A" wp14:editId="6D269005">
            <wp:extent cx="4697095" cy="2916555"/>
            <wp:effectExtent l="0" t="0" r="1905" b="444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095" cy="2916555"/>
                    </a:xfrm>
                    <a:prstGeom prst="rect">
                      <a:avLst/>
                    </a:prstGeom>
                    <a:noFill/>
                    <a:ln>
                      <a:noFill/>
                    </a:ln>
                  </pic:spPr>
                </pic:pic>
              </a:graphicData>
            </a:graphic>
          </wp:inline>
        </w:drawing>
      </w:r>
    </w:p>
    <w:p w14:paraId="602A73E5" w14:textId="371732FE" w:rsidR="00530826" w:rsidRDefault="003A6A83" w:rsidP="00D102CF">
      <w:pPr>
        <w:rPr>
          <w:b/>
        </w:rPr>
      </w:pPr>
      <w:r w:rsidRPr="003A6A83">
        <w:rPr>
          <w:b/>
        </w:rPr>
        <w:t>Note: Users may remove variables from the “Known Factors” box using the “Backspace” or “Delete” key on your keyboard.</w:t>
      </w:r>
    </w:p>
    <w:p w14:paraId="48773A3F" w14:textId="77777777" w:rsidR="003A6A83" w:rsidRDefault="003A6A83" w:rsidP="00D102CF">
      <w:pPr>
        <w:rPr>
          <w:b/>
        </w:rPr>
      </w:pPr>
    </w:p>
    <w:p w14:paraId="21024E57" w14:textId="77777777" w:rsidR="003A6A83" w:rsidRDefault="003A6A83" w:rsidP="00D102CF">
      <w:pPr>
        <w:rPr>
          <w:b/>
        </w:rPr>
      </w:pPr>
    </w:p>
    <w:p w14:paraId="70843612" w14:textId="77777777" w:rsidR="003A6A83" w:rsidRPr="003A6A83" w:rsidRDefault="003A6A83" w:rsidP="00D102CF">
      <w:pPr>
        <w:rPr>
          <w:b/>
        </w:rPr>
      </w:pPr>
    </w:p>
    <w:p w14:paraId="294DB21F" w14:textId="2BA134AB" w:rsidR="00336221" w:rsidRDefault="003A6A83" w:rsidP="003A6A83">
      <w:pPr>
        <w:rPr>
          <w:b/>
          <w:sz w:val="32"/>
          <w:szCs w:val="32"/>
        </w:rPr>
      </w:pPr>
      <w:r>
        <w:rPr>
          <w:b/>
          <w:sz w:val="32"/>
          <w:szCs w:val="32"/>
        </w:rPr>
        <w:t xml:space="preserve">IV. </w:t>
      </w:r>
      <w:bookmarkStart w:id="4" w:name="IASVA_Analysis"/>
      <w:r>
        <w:rPr>
          <w:b/>
          <w:sz w:val="32"/>
          <w:szCs w:val="32"/>
        </w:rPr>
        <w:t>IA-SVA Analysis</w:t>
      </w:r>
      <w:bookmarkEnd w:id="4"/>
    </w:p>
    <w:p w14:paraId="72323192" w14:textId="77777777" w:rsidR="003A6A83" w:rsidRDefault="003A6A83" w:rsidP="003A6A83">
      <w:pPr>
        <w:rPr>
          <w:b/>
          <w:sz w:val="32"/>
          <w:szCs w:val="32"/>
        </w:rPr>
      </w:pPr>
    </w:p>
    <w:p w14:paraId="276CCB5E" w14:textId="77777777" w:rsidR="00AB5B27" w:rsidRDefault="006452AD" w:rsidP="0083669E">
      <w:r>
        <w:t>The fourth step involves adjusting parameter</w:t>
      </w:r>
      <w:r w:rsidR="00AB5B27">
        <w:t>s</w:t>
      </w:r>
      <w:r>
        <w:t xml:space="preserve"> prior to running the IA-SVA algorithm. </w:t>
      </w:r>
      <w:r w:rsidR="00AB5B27">
        <w:t>Users may choose to conduct their analysis by selecting one of two IA-SVA parameter choices: “Percentage Threshold” or “Number of SVs” from the drop down menu:</w:t>
      </w:r>
    </w:p>
    <w:p w14:paraId="2BBAB45F" w14:textId="77777777" w:rsidR="00AB5B27" w:rsidRDefault="00AB5B27" w:rsidP="0083669E"/>
    <w:p w14:paraId="34A675EE" w14:textId="0A69959B" w:rsidR="00AB5B27" w:rsidRDefault="00AB5B27" w:rsidP="0083669E">
      <w:r>
        <w:rPr>
          <w:noProof/>
        </w:rPr>
        <w:drawing>
          <wp:inline distT="0" distB="0" distL="0" distR="0" wp14:anchorId="78AC8524" wp14:editId="01393316">
            <wp:extent cx="4321810" cy="2300605"/>
            <wp:effectExtent l="0" t="0" r="0"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1810" cy="2300605"/>
                    </a:xfrm>
                    <a:prstGeom prst="rect">
                      <a:avLst/>
                    </a:prstGeom>
                    <a:noFill/>
                    <a:ln>
                      <a:noFill/>
                    </a:ln>
                  </pic:spPr>
                </pic:pic>
              </a:graphicData>
            </a:graphic>
          </wp:inline>
        </w:drawing>
      </w:r>
    </w:p>
    <w:p w14:paraId="045055AC" w14:textId="13C29AD6" w:rsidR="00AB5B27" w:rsidRDefault="00AB5B27" w:rsidP="0083669E">
      <w:r>
        <w:t xml:space="preserve"> </w:t>
      </w:r>
    </w:p>
    <w:p w14:paraId="1283D186" w14:textId="77777777" w:rsidR="00AB5B27" w:rsidRDefault="00AB5B27" w:rsidP="0083669E">
      <w:r>
        <w:t>Upon selecting “Percentage Threshold”, the user interface should change to this:</w:t>
      </w:r>
    </w:p>
    <w:p w14:paraId="1F9C9881" w14:textId="77777777" w:rsidR="00AB5B27" w:rsidRDefault="00AB5B27" w:rsidP="0083669E"/>
    <w:p w14:paraId="55935265" w14:textId="0B20E5BC" w:rsidR="00AB5B27" w:rsidRDefault="00AB5B27" w:rsidP="0083669E">
      <w:r>
        <w:rPr>
          <w:noProof/>
        </w:rPr>
        <w:drawing>
          <wp:inline distT="0" distB="0" distL="0" distR="0" wp14:anchorId="42DDF62B" wp14:editId="54A2F86A">
            <wp:extent cx="3263265" cy="2386965"/>
            <wp:effectExtent l="0" t="0" r="0" b="6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3265" cy="2386965"/>
                    </a:xfrm>
                    <a:prstGeom prst="rect">
                      <a:avLst/>
                    </a:prstGeom>
                    <a:noFill/>
                    <a:ln>
                      <a:noFill/>
                    </a:ln>
                  </pic:spPr>
                </pic:pic>
              </a:graphicData>
            </a:graphic>
          </wp:inline>
        </w:drawing>
      </w:r>
    </w:p>
    <w:p w14:paraId="35533D90" w14:textId="623A9861" w:rsidR="0083669E" w:rsidRDefault="00AB5B27" w:rsidP="0083669E">
      <w:pPr>
        <w:rPr>
          <w:rFonts w:eastAsia="Times New Roman"/>
          <w:shd w:val="clear" w:color="auto" w:fill="FFFFFF"/>
        </w:rPr>
      </w:pPr>
      <w:r>
        <w:t xml:space="preserve">Where </w:t>
      </w:r>
      <w:r w:rsidR="0083669E">
        <w:t xml:space="preserve">“% Threshold for SV retention” </w:t>
      </w:r>
      <w:r w:rsidR="00E52B4A">
        <w:t>is the numeric p</w:t>
      </w:r>
      <w:r w:rsidR="0083669E" w:rsidRPr="00E52B4A">
        <w:rPr>
          <w:rFonts w:eastAsia="Times New Roman"/>
          <w:shd w:val="clear" w:color="auto" w:fill="FFFFFF"/>
        </w:rPr>
        <w:t>erce</w:t>
      </w:r>
      <w:r w:rsidR="00E52B4A">
        <w:rPr>
          <w:rFonts w:eastAsia="Times New Roman"/>
          <w:shd w:val="clear" w:color="auto" w:fill="FFFFFF"/>
        </w:rPr>
        <w:t>n</w:t>
      </w:r>
      <w:r w:rsidR="0083669E" w:rsidRPr="00E52B4A">
        <w:rPr>
          <w:rFonts w:eastAsia="Times New Roman"/>
          <w:shd w:val="clear" w:color="auto" w:fill="FFFFFF"/>
        </w:rPr>
        <w:t>tage threshold for SV retention. IA-SVA computes the percentage of unmodeled variance explained by the putative hidden factor and compare</w:t>
      </w:r>
      <w:r w:rsidR="00E60DCE">
        <w:rPr>
          <w:rFonts w:eastAsia="Times New Roman"/>
          <w:shd w:val="clear" w:color="auto" w:fill="FFFFFF"/>
        </w:rPr>
        <w:t>s</w:t>
      </w:r>
      <w:r w:rsidR="0083669E" w:rsidRPr="00E52B4A">
        <w:rPr>
          <w:rFonts w:eastAsia="Times New Roman"/>
          <w:shd w:val="clear" w:color="auto" w:fill="FFFFFF"/>
        </w:rPr>
        <w:t xml:space="preserve"> it with the user-defined threshold. If the percentage is greater than the threshold, </w:t>
      </w:r>
      <w:r w:rsidR="00A52ED1">
        <w:rPr>
          <w:rFonts w:eastAsia="Times New Roman"/>
          <w:shd w:val="clear" w:color="auto" w:fill="FFFFFF"/>
        </w:rPr>
        <w:t xml:space="preserve">the </w:t>
      </w:r>
      <w:r w:rsidR="0083669E" w:rsidRPr="00E52B4A">
        <w:rPr>
          <w:rFonts w:eastAsia="Times New Roman"/>
          <w:shd w:val="clear" w:color="auto" w:fill="FFFFFF"/>
        </w:rPr>
        <w:t>SV is retained.</w:t>
      </w:r>
    </w:p>
    <w:p w14:paraId="6E90E695" w14:textId="77777777" w:rsidR="00A52ED1" w:rsidRDefault="00A52ED1" w:rsidP="0083669E">
      <w:pPr>
        <w:rPr>
          <w:rFonts w:eastAsia="Times New Roman"/>
          <w:shd w:val="clear" w:color="auto" w:fill="FFFFFF"/>
        </w:rPr>
      </w:pPr>
    </w:p>
    <w:p w14:paraId="5497CAD5" w14:textId="34BE55F7" w:rsidR="009A58E2" w:rsidRPr="00E52B4A" w:rsidRDefault="009A58E2" w:rsidP="0083669E">
      <w:pPr>
        <w:rPr>
          <w:rFonts w:eastAsia="Times New Roman"/>
        </w:rPr>
      </w:pPr>
      <w:r>
        <w:rPr>
          <w:rFonts w:eastAsia="Times New Roman"/>
          <w:shd w:val="clear" w:color="auto" w:fill="FFFFFF"/>
        </w:rPr>
        <w:t>Alternatively, users may select the “Number of SVs” option to limit the number of significant SVs identified for retention. This option is useful when analyzing highly dimensional or complex data to avoid identifying a surplus of SVs.</w:t>
      </w:r>
    </w:p>
    <w:p w14:paraId="7D6D0425" w14:textId="77777777" w:rsidR="006452AD" w:rsidRDefault="006452AD" w:rsidP="003A6A83">
      <w:pPr>
        <w:rPr>
          <w:b/>
          <w:sz w:val="32"/>
          <w:szCs w:val="32"/>
        </w:rPr>
      </w:pPr>
    </w:p>
    <w:p w14:paraId="081AD42A" w14:textId="1F1BFC80" w:rsidR="006452AD" w:rsidRDefault="009A58E2" w:rsidP="003A6A83">
      <w:pPr>
        <w:rPr>
          <w:b/>
          <w:sz w:val="32"/>
          <w:szCs w:val="32"/>
        </w:rPr>
      </w:pPr>
      <w:r>
        <w:rPr>
          <w:b/>
          <w:noProof/>
          <w:sz w:val="32"/>
          <w:szCs w:val="32"/>
        </w:rPr>
        <w:drawing>
          <wp:inline distT="0" distB="0" distL="0" distR="0" wp14:anchorId="124DE556" wp14:editId="3976D6D2">
            <wp:extent cx="3195320" cy="3291840"/>
            <wp:effectExtent l="0" t="0" r="5080" b="1016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5320" cy="3291840"/>
                    </a:xfrm>
                    <a:prstGeom prst="rect">
                      <a:avLst/>
                    </a:prstGeom>
                    <a:noFill/>
                    <a:ln>
                      <a:noFill/>
                    </a:ln>
                  </pic:spPr>
                </pic:pic>
              </a:graphicData>
            </a:graphic>
          </wp:inline>
        </w:drawing>
      </w:r>
    </w:p>
    <w:p w14:paraId="626E5903" w14:textId="77777777" w:rsidR="003A6A83" w:rsidRDefault="003A6A83" w:rsidP="003A6A83">
      <w:pPr>
        <w:rPr>
          <w:b/>
          <w:sz w:val="32"/>
          <w:szCs w:val="32"/>
        </w:rPr>
      </w:pPr>
    </w:p>
    <w:p w14:paraId="24E8D213" w14:textId="77777777" w:rsidR="00AC57B1" w:rsidRDefault="00AC57B1" w:rsidP="003A6A83"/>
    <w:p w14:paraId="12CFDB67" w14:textId="72DD3D88" w:rsidR="00AC57B1" w:rsidRDefault="00AC57B1" w:rsidP="00AC57B1">
      <w:pPr>
        <w:rPr>
          <w:rFonts w:eastAsia="Times New Roman"/>
          <w:shd w:val="clear" w:color="auto" w:fill="FFFFFF"/>
        </w:rPr>
      </w:pPr>
      <w:r>
        <w:rPr>
          <w:rFonts w:eastAsia="Times New Roman"/>
          <w:shd w:val="clear" w:color="auto" w:fill="FFFFFF"/>
        </w:rPr>
        <w:t>Following parameter selection, click the blue “Run Analysis” button.</w:t>
      </w:r>
    </w:p>
    <w:p w14:paraId="072A86F1" w14:textId="16E2357A" w:rsidR="00BA17F7" w:rsidRPr="00BA17F7" w:rsidRDefault="00BA17F7" w:rsidP="003A6A83">
      <w:r w:rsidRPr="00BA17F7">
        <w:t>Upon clicking this button, the user should see a message prompt in the bottom right of the screen:</w:t>
      </w:r>
    </w:p>
    <w:p w14:paraId="3CE42167" w14:textId="77777777" w:rsidR="00BA17F7" w:rsidRDefault="00BA17F7" w:rsidP="003A6A83">
      <w:pPr>
        <w:rPr>
          <w:sz w:val="32"/>
          <w:szCs w:val="32"/>
        </w:rPr>
      </w:pPr>
    </w:p>
    <w:p w14:paraId="7F2A409D" w14:textId="6B748D74" w:rsidR="00BA17F7" w:rsidRPr="00BA17F7" w:rsidRDefault="00BA17F7" w:rsidP="003A6A83">
      <w:pPr>
        <w:rPr>
          <w:sz w:val="32"/>
          <w:szCs w:val="32"/>
        </w:rPr>
      </w:pPr>
      <w:r>
        <w:rPr>
          <w:noProof/>
          <w:sz w:val="32"/>
          <w:szCs w:val="32"/>
        </w:rPr>
        <w:drawing>
          <wp:inline distT="0" distB="0" distL="0" distR="0" wp14:anchorId="25DAA5CC" wp14:editId="3769A891">
            <wp:extent cx="4389120" cy="1539875"/>
            <wp:effectExtent l="0" t="0" r="5080" b="9525"/>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1539875"/>
                    </a:xfrm>
                    <a:prstGeom prst="rect">
                      <a:avLst/>
                    </a:prstGeom>
                    <a:noFill/>
                    <a:ln>
                      <a:noFill/>
                    </a:ln>
                  </pic:spPr>
                </pic:pic>
              </a:graphicData>
            </a:graphic>
          </wp:inline>
        </w:drawing>
      </w:r>
    </w:p>
    <w:p w14:paraId="05879176" w14:textId="77777777" w:rsidR="00BA17F7" w:rsidRDefault="00BA17F7" w:rsidP="003A6A83">
      <w:pPr>
        <w:rPr>
          <w:b/>
          <w:sz w:val="32"/>
          <w:szCs w:val="32"/>
        </w:rPr>
      </w:pPr>
    </w:p>
    <w:p w14:paraId="68C36908" w14:textId="77777777" w:rsidR="003A6A83" w:rsidRPr="003A6A83" w:rsidRDefault="003A6A83" w:rsidP="003A6A83">
      <w:pPr>
        <w:rPr>
          <w:b/>
          <w:sz w:val="32"/>
          <w:szCs w:val="32"/>
        </w:rPr>
      </w:pPr>
    </w:p>
    <w:p w14:paraId="63B41C20" w14:textId="00AB00DA" w:rsidR="00CE5279" w:rsidRDefault="00CE5279" w:rsidP="003874A6">
      <w:pPr>
        <w:rPr>
          <w:b/>
          <w:sz w:val="32"/>
          <w:szCs w:val="32"/>
          <w:u w:val="single"/>
        </w:rPr>
      </w:pPr>
    </w:p>
    <w:p w14:paraId="10B7F87E" w14:textId="769A527A" w:rsidR="002351B3" w:rsidRDefault="0052282B" w:rsidP="003874A6">
      <w:pPr>
        <w:rPr>
          <w:b/>
          <w:sz w:val="32"/>
          <w:szCs w:val="32"/>
        </w:rPr>
      </w:pPr>
      <w:r w:rsidRPr="0052282B">
        <w:rPr>
          <w:b/>
          <w:sz w:val="32"/>
          <w:szCs w:val="32"/>
        </w:rPr>
        <w:t>V.</w:t>
      </w:r>
      <w:r>
        <w:rPr>
          <w:b/>
          <w:sz w:val="32"/>
          <w:szCs w:val="32"/>
        </w:rPr>
        <w:t xml:space="preserve">  </w:t>
      </w:r>
      <w:bookmarkStart w:id="5" w:name="Data_QC"/>
      <w:r>
        <w:rPr>
          <w:b/>
          <w:sz w:val="32"/>
          <w:szCs w:val="32"/>
        </w:rPr>
        <w:t>Data/QC</w:t>
      </w:r>
      <w:bookmarkEnd w:id="5"/>
    </w:p>
    <w:p w14:paraId="3AC10316" w14:textId="77777777" w:rsidR="003825B5" w:rsidRDefault="003825B5" w:rsidP="003874A6"/>
    <w:p w14:paraId="6BEE54FC" w14:textId="74452B70" w:rsidR="00B2583C" w:rsidRDefault="00B2583C" w:rsidP="003874A6">
      <w:r>
        <w:t>Once the IA-SVA algorithm finishes running, navigate over to the tabbed set of panels near the top right of the page. The “Data/QC” panel should now display information about your input gene/ADT dataset. For example:</w:t>
      </w:r>
    </w:p>
    <w:p w14:paraId="6C64DB7D" w14:textId="77777777" w:rsidR="00B2583C" w:rsidRDefault="00B2583C" w:rsidP="003874A6"/>
    <w:p w14:paraId="1CA07095" w14:textId="7A101D4C" w:rsidR="00B2583C" w:rsidRDefault="00F745E1" w:rsidP="003874A6">
      <w:r>
        <w:rPr>
          <w:noProof/>
        </w:rPr>
        <w:drawing>
          <wp:inline distT="0" distB="0" distL="0" distR="0" wp14:anchorId="1B2CC511" wp14:editId="21A03D2D">
            <wp:extent cx="3775354" cy="4000500"/>
            <wp:effectExtent l="0" t="0" r="952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6228" cy="4001426"/>
                    </a:xfrm>
                    <a:prstGeom prst="rect">
                      <a:avLst/>
                    </a:prstGeom>
                    <a:noFill/>
                    <a:ln>
                      <a:noFill/>
                    </a:ln>
                  </pic:spPr>
                </pic:pic>
              </a:graphicData>
            </a:graphic>
          </wp:inline>
        </w:drawing>
      </w:r>
    </w:p>
    <w:p w14:paraId="7F4658DB" w14:textId="77777777" w:rsidR="00B2583C" w:rsidRDefault="00B2583C" w:rsidP="003874A6"/>
    <w:p w14:paraId="48CBC484" w14:textId="0F8B7C55" w:rsidR="00B2583C" w:rsidRDefault="00B2583C" w:rsidP="003874A6">
      <w:r>
        <w:t>The output message will</w:t>
      </w:r>
      <w:r w:rsidR="00124A64">
        <w:t xml:space="preserve"> tell the user how many genes and samples were considered in the IA-SVA analysis. In this test case, 267 genes and 200 samples were provided as input. Additionally, this output message indicates the number of surro</w:t>
      </w:r>
      <w:r w:rsidR="00F745E1">
        <w:t>gate variables (in this case, 19</w:t>
      </w:r>
      <w:r w:rsidR="00124A64">
        <w:t>) that were identified in your analysis.</w:t>
      </w:r>
      <w:r w:rsidR="00A1706D">
        <w:t xml:space="preserve"> Additionally, a histogram plot will be displayed summarizing the number of genes detected (normalized count &gt; 1) in each sample. </w:t>
      </w:r>
    </w:p>
    <w:p w14:paraId="562320AD" w14:textId="77777777" w:rsidR="00124A64" w:rsidRDefault="00124A64" w:rsidP="003874A6"/>
    <w:p w14:paraId="293FC656" w14:textId="36812D4D" w:rsidR="00124A64" w:rsidRDefault="0048439C" w:rsidP="003874A6">
      <w:r>
        <w:t>Now, navigate to the next tabbed panel, “Surrogate Variables”.</w:t>
      </w:r>
    </w:p>
    <w:p w14:paraId="591FDD7F" w14:textId="77777777" w:rsidR="0048439C" w:rsidRDefault="0048439C" w:rsidP="003874A6"/>
    <w:p w14:paraId="14B3A67C" w14:textId="5AF9F90D" w:rsidR="0048439C" w:rsidRDefault="00BF1E64" w:rsidP="003874A6">
      <w:pPr>
        <w:rPr>
          <w:b/>
          <w:sz w:val="32"/>
          <w:szCs w:val="32"/>
        </w:rPr>
      </w:pPr>
      <w:r w:rsidRPr="00BF1E64">
        <w:rPr>
          <w:b/>
          <w:sz w:val="32"/>
          <w:szCs w:val="32"/>
        </w:rPr>
        <w:t xml:space="preserve">VI. </w:t>
      </w:r>
      <w:bookmarkStart w:id="6" w:name="Surrogate_Variables"/>
      <w:r>
        <w:rPr>
          <w:b/>
          <w:sz w:val="32"/>
          <w:szCs w:val="32"/>
        </w:rPr>
        <w:t>Surrogate Variables</w:t>
      </w:r>
      <w:bookmarkEnd w:id="6"/>
    </w:p>
    <w:p w14:paraId="6737991E" w14:textId="77777777" w:rsidR="00BF1E64" w:rsidRPr="00BF1E64" w:rsidRDefault="00BF1E64" w:rsidP="003874A6">
      <w:pPr>
        <w:rPr>
          <w:b/>
        </w:rPr>
      </w:pPr>
    </w:p>
    <w:p w14:paraId="1161E53D" w14:textId="0727715E" w:rsidR="00BF1E64" w:rsidRDefault="00790688" w:rsidP="003874A6">
      <w:r>
        <w:t>Upon clicking on this tab, by default, the user should see two plots:</w:t>
      </w:r>
    </w:p>
    <w:p w14:paraId="40EFF6A4" w14:textId="77777777" w:rsidR="00DD5092" w:rsidRDefault="00DD5092" w:rsidP="003874A6"/>
    <w:p w14:paraId="7D8C3703" w14:textId="3DCB7763" w:rsidR="00790688" w:rsidRDefault="0053645A" w:rsidP="003874A6">
      <w:r>
        <w:rPr>
          <w:noProof/>
        </w:rPr>
        <w:drawing>
          <wp:inline distT="0" distB="0" distL="0" distR="0" wp14:anchorId="469FC16C" wp14:editId="1E6975A3">
            <wp:extent cx="4311252" cy="5433461"/>
            <wp:effectExtent l="0" t="0" r="6985" b="254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268" cy="5434741"/>
                    </a:xfrm>
                    <a:prstGeom prst="rect">
                      <a:avLst/>
                    </a:prstGeom>
                    <a:noFill/>
                    <a:ln>
                      <a:noFill/>
                    </a:ln>
                  </pic:spPr>
                </pic:pic>
              </a:graphicData>
            </a:graphic>
          </wp:inline>
        </w:drawing>
      </w:r>
    </w:p>
    <w:p w14:paraId="38DF8A26" w14:textId="6D34A77E" w:rsidR="0053645A" w:rsidRDefault="0053645A" w:rsidP="003874A6">
      <w:r>
        <w:rPr>
          <w:noProof/>
        </w:rPr>
        <w:drawing>
          <wp:inline distT="0" distB="0" distL="0" distR="0" wp14:anchorId="4B046F65" wp14:editId="074080E2">
            <wp:extent cx="5486400" cy="5764079"/>
            <wp:effectExtent l="0" t="0" r="0" b="190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764079"/>
                    </a:xfrm>
                    <a:prstGeom prst="rect">
                      <a:avLst/>
                    </a:prstGeom>
                    <a:noFill/>
                    <a:ln>
                      <a:noFill/>
                    </a:ln>
                  </pic:spPr>
                </pic:pic>
              </a:graphicData>
            </a:graphic>
          </wp:inline>
        </w:drawing>
      </w:r>
    </w:p>
    <w:p w14:paraId="35A376A3" w14:textId="2D3DAB9B" w:rsidR="00790688" w:rsidRDefault="00790688" w:rsidP="003874A6"/>
    <w:p w14:paraId="50D5D2C2" w14:textId="77777777" w:rsidR="00DD5092" w:rsidRDefault="00DD5092" w:rsidP="003874A6"/>
    <w:p w14:paraId="5B0B0D4D" w14:textId="36DD33BD" w:rsidR="00790688" w:rsidRDefault="00790688" w:rsidP="003874A6">
      <w:r>
        <w:t xml:space="preserve">The plot on the </w:t>
      </w:r>
      <w:r w:rsidR="00BD39D1">
        <w:t>top</w:t>
      </w:r>
      <w:r>
        <w:t xml:space="preserve">, contains a circular plot depicting the correlation between each SV and all Known Factors provided in the analysis. </w:t>
      </w:r>
      <w:r w:rsidR="00D978FF">
        <w:t xml:space="preserve">The plot on the bottom right </w:t>
      </w:r>
      <w:r w:rsidR="00CA7CB5">
        <w:t>shows pairwise scatter plots of each surrogate variable identified (</w:t>
      </w:r>
      <w:r w:rsidR="0053645A">
        <w:t>19</w:t>
      </w:r>
      <w:r w:rsidR="00CA7CB5">
        <w:t xml:space="preserve"> in this case).</w:t>
      </w:r>
    </w:p>
    <w:p w14:paraId="5D2B3677" w14:textId="77777777" w:rsidR="00CA7CB5" w:rsidRDefault="00CA7CB5" w:rsidP="003874A6"/>
    <w:p w14:paraId="5DD55337" w14:textId="07C53B76" w:rsidR="00CA7CB5" w:rsidRDefault="00213AFE" w:rsidP="003874A6">
      <w:r>
        <w:t>In this example, it is difficult to visualize all 19 surrogate variables effectively. So let’s just focus on the first five SVs. To do this, the user needs to go to the “SV Number” box shown below:</w:t>
      </w:r>
    </w:p>
    <w:p w14:paraId="1345FBC6" w14:textId="77777777" w:rsidR="00213AFE" w:rsidRDefault="00213AFE" w:rsidP="003874A6"/>
    <w:p w14:paraId="7ED8960B" w14:textId="107515F4" w:rsidR="00213AFE" w:rsidRDefault="00213AFE" w:rsidP="003874A6">
      <w:r>
        <w:rPr>
          <w:noProof/>
        </w:rPr>
        <w:drawing>
          <wp:inline distT="0" distB="0" distL="0" distR="0" wp14:anchorId="0FC93851" wp14:editId="3B8FA336">
            <wp:extent cx="2781935" cy="1539875"/>
            <wp:effectExtent l="0" t="0" r="12065" b="952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935" cy="1539875"/>
                    </a:xfrm>
                    <a:prstGeom prst="rect">
                      <a:avLst/>
                    </a:prstGeom>
                    <a:noFill/>
                    <a:ln>
                      <a:noFill/>
                    </a:ln>
                  </pic:spPr>
                </pic:pic>
              </a:graphicData>
            </a:graphic>
          </wp:inline>
        </w:drawing>
      </w:r>
    </w:p>
    <w:p w14:paraId="7DA17E25" w14:textId="77777777" w:rsidR="00213AFE" w:rsidRDefault="00213AFE" w:rsidP="003874A6"/>
    <w:p w14:paraId="377152B2" w14:textId="320C22C4" w:rsidR="00213AFE" w:rsidRDefault="00213AFE" w:rsidP="003874A6">
      <w:r>
        <w:t>And merely remove all numbers except 1 through 5:</w:t>
      </w:r>
    </w:p>
    <w:p w14:paraId="117E36E1" w14:textId="77777777" w:rsidR="00213AFE" w:rsidRDefault="00213AFE" w:rsidP="003874A6"/>
    <w:p w14:paraId="169E888E" w14:textId="64B45E7D" w:rsidR="00213AFE" w:rsidRDefault="00213AFE" w:rsidP="003874A6">
      <w:r>
        <w:rPr>
          <w:noProof/>
        </w:rPr>
        <w:drawing>
          <wp:inline distT="0" distB="0" distL="0" distR="0" wp14:anchorId="33DE0005" wp14:editId="515FD67D">
            <wp:extent cx="2704465" cy="981710"/>
            <wp:effectExtent l="0" t="0" r="0" b="889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4465" cy="981710"/>
                    </a:xfrm>
                    <a:prstGeom prst="rect">
                      <a:avLst/>
                    </a:prstGeom>
                    <a:noFill/>
                    <a:ln>
                      <a:noFill/>
                    </a:ln>
                  </pic:spPr>
                </pic:pic>
              </a:graphicData>
            </a:graphic>
          </wp:inline>
        </w:drawing>
      </w:r>
    </w:p>
    <w:p w14:paraId="7699BC85" w14:textId="64CBF4E9" w:rsidR="00213AFE" w:rsidRDefault="00213AFE" w:rsidP="003874A6">
      <w:r>
        <w:t>And then click the “Update Plots” button:</w:t>
      </w:r>
    </w:p>
    <w:p w14:paraId="2A785119" w14:textId="74F4D980" w:rsidR="00213AFE" w:rsidRDefault="00213AFE" w:rsidP="003874A6">
      <w:r>
        <w:rPr>
          <w:noProof/>
        </w:rPr>
        <w:drawing>
          <wp:inline distT="0" distB="0" distL="0" distR="0" wp14:anchorId="37A29B55" wp14:editId="7F18C970">
            <wp:extent cx="2146300" cy="808355"/>
            <wp:effectExtent l="0" t="0" r="12700" b="44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6300" cy="808355"/>
                    </a:xfrm>
                    <a:prstGeom prst="rect">
                      <a:avLst/>
                    </a:prstGeom>
                    <a:noFill/>
                    <a:ln>
                      <a:noFill/>
                    </a:ln>
                  </pic:spPr>
                </pic:pic>
              </a:graphicData>
            </a:graphic>
          </wp:inline>
        </w:drawing>
      </w:r>
    </w:p>
    <w:p w14:paraId="7049019A" w14:textId="77777777" w:rsidR="00213AFE" w:rsidRDefault="00213AFE" w:rsidP="003874A6"/>
    <w:p w14:paraId="3BCF65C2" w14:textId="46C268D6" w:rsidR="00213AFE" w:rsidRDefault="00213AFE" w:rsidP="003874A6">
      <w:r>
        <w:t>Which will re-display the two plots, this time only visualizing SVs 1 through 5. The updated plots in this example will look like this:</w:t>
      </w:r>
    </w:p>
    <w:p w14:paraId="14E8EC6A" w14:textId="0FD17435" w:rsidR="00213AFE" w:rsidRDefault="00213AFE" w:rsidP="003874A6">
      <w:pPr>
        <w:rPr>
          <w:noProof/>
        </w:rPr>
      </w:pPr>
    </w:p>
    <w:p w14:paraId="7163C727" w14:textId="230AA87F" w:rsidR="00226291" w:rsidRDefault="00226291" w:rsidP="003874A6">
      <w:pPr>
        <w:rPr>
          <w:noProof/>
        </w:rPr>
      </w:pPr>
      <w:r>
        <w:rPr>
          <w:noProof/>
        </w:rPr>
        <w:drawing>
          <wp:inline distT="0" distB="0" distL="0" distR="0" wp14:anchorId="1B28F15F" wp14:editId="7B3F9332">
            <wp:extent cx="5486400" cy="2889092"/>
            <wp:effectExtent l="0" t="0" r="0" b="698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89092"/>
                    </a:xfrm>
                    <a:prstGeom prst="rect">
                      <a:avLst/>
                    </a:prstGeom>
                    <a:noFill/>
                    <a:ln>
                      <a:noFill/>
                    </a:ln>
                  </pic:spPr>
                </pic:pic>
              </a:graphicData>
            </a:graphic>
          </wp:inline>
        </w:drawing>
      </w:r>
    </w:p>
    <w:p w14:paraId="1BDC2253" w14:textId="77777777" w:rsidR="00226291" w:rsidRDefault="00226291" w:rsidP="003874A6"/>
    <w:p w14:paraId="7C0EC6AC" w14:textId="77777777" w:rsidR="00213AFE" w:rsidRDefault="00213AFE" w:rsidP="003874A6"/>
    <w:p w14:paraId="5DE8B330" w14:textId="1721E982" w:rsidR="00213AFE" w:rsidRDefault="0089532F" w:rsidP="003874A6">
      <w:r>
        <w:t>Focusing on the bottom right pairwise scatterplots, the user also has the choice to color cells/samples in this figure by different known factors. Users should specify a choice from the “Color Points” drop-down menu, and then click the update plots button.</w:t>
      </w:r>
    </w:p>
    <w:p w14:paraId="76E7A331" w14:textId="77777777" w:rsidR="0089532F" w:rsidRDefault="0089532F" w:rsidP="003874A6"/>
    <w:p w14:paraId="70302848" w14:textId="1CA37324" w:rsidR="0089532F" w:rsidRDefault="0089532F" w:rsidP="003874A6">
      <w:r>
        <w:rPr>
          <w:noProof/>
        </w:rPr>
        <w:drawing>
          <wp:inline distT="0" distB="0" distL="0" distR="0" wp14:anchorId="0B2439A6" wp14:editId="4AE05ED8">
            <wp:extent cx="2666365" cy="1819275"/>
            <wp:effectExtent l="0" t="0" r="635" b="9525"/>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6365" cy="1819275"/>
                    </a:xfrm>
                    <a:prstGeom prst="rect">
                      <a:avLst/>
                    </a:prstGeom>
                    <a:noFill/>
                    <a:ln>
                      <a:noFill/>
                    </a:ln>
                  </pic:spPr>
                </pic:pic>
              </a:graphicData>
            </a:graphic>
          </wp:inline>
        </w:drawing>
      </w:r>
    </w:p>
    <w:p w14:paraId="78FC7104" w14:textId="77777777" w:rsidR="00F20336" w:rsidRDefault="00F20336" w:rsidP="003874A6"/>
    <w:p w14:paraId="0788AD7A" w14:textId="366E5025" w:rsidR="00F20336" w:rsidRDefault="00F20336" w:rsidP="003874A6">
      <w:r>
        <w:t>In the example below, the cells/samples are colored by the “stim” variable provided in the metadata file:</w:t>
      </w:r>
    </w:p>
    <w:p w14:paraId="0B0E15FD" w14:textId="6CFADFAF" w:rsidR="00F20336" w:rsidRDefault="00F20336" w:rsidP="003874A6">
      <w:r>
        <w:rPr>
          <w:noProof/>
        </w:rPr>
        <w:drawing>
          <wp:inline distT="0" distB="0" distL="0" distR="0" wp14:anchorId="24510B97" wp14:editId="5097D25E">
            <wp:extent cx="5486400" cy="5118265"/>
            <wp:effectExtent l="0" t="0" r="0" b="12700"/>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118265"/>
                    </a:xfrm>
                    <a:prstGeom prst="rect">
                      <a:avLst/>
                    </a:prstGeom>
                    <a:noFill/>
                    <a:ln>
                      <a:noFill/>
                    </a:ln>
                  </pic:spPr>
                </pic:pic>
              </a:graphicData>
            </a:graphic>
          </wp:inline>
        </w:drawing>
      </w:r>
    </w:p>
    <w:p w14:paraId="64B00EB2" w14:textId="520A85DC" w:rsidR="002D6923" w:rsidRDefault="002D6923" w:rsidP="003874A6">
      <w:r>
        <w:t>After plotting this data, users may also download PDF file versions by clicking the buttons:</w:t>
      </w:r>
    </w:p>
    <w:p w14:paraId="5130A3D8" w14:textId="77777777" w:rsidR="002D6923" w:rsidRDefault="002D6923" w:rsidP="003874A6"/>
    <w:p w14:paraId="78BE3471" w14:textId="27F9EFEF" w:rsidR="002D6923" w:rsidRDefault="002D6923" w:rsidP="003874A6">
      <w:r>
        <w:rPr>
          <w:noProof/>
        </w:rPr>
        <w:drawing>
          <wp:inline distT="0" distB="0" distL="0" distR="0" wp14:anchorId="1224F102" wp14:editId="4C8D833D">
            <wp:extent cx="5486400" cy="457931"/>
            <wp:effectExtent l="0" t="0" r="0" b="0"/>
            <wp:docPr id="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57931"/>
                    </a:xfrm>
                    <a:prstGeom prst="rect">
                      <a:avLst/>
                    </a:prstGeom>
                    <a:noFill/>
                    <a:ln>
                      <a:noFill/>
                    </a:ln>
                  </pic:spPr>
                </pic:pic>
              </a:graphicData>
            </a:graphic>
          </wp:inline>
        </w:drawing>
      </w:r>
    </w:p>
    <w:p w14:paraId="6A1E28CE" w14:textId="77777777" w:rsidR="00491A98" w:rsidRDefault="00491A98" w:rsidP="003874A6"/>
    <w:p w14:paraId="22106192" w14:textId="72373D6C" w:rsidR="00491A98" w:rsidRDefault="00491A98" w:rsidP="003874A6">
      <w:r>
        <w:t>Where the “Download Correlation Plot” corresponds to the circular plot in the bottom left of the page and the “All Surrogate Variables Plot” corresponds to the pairwise scatter plot in the bottom right of the page.</w:t>
      </w:r>
    </w:p>
    <w:p w14:paraId="66C6945D" w14:textId="77777777" w:rsidR="00F846AF" w:rsidRDefault="00F846AF" w:rsidP="003874A6"/>
    <w:p w14:paraId="6B36A081" w14:textId="77777777" w:rsidR="00F846AF" w:rsidRDefault="00F846AF" w:rsidP="003874A6"/>
    <w:p w14:paraId="29B86435" w14:textId="53E47615" w:rsidR="00F846AF" w:rsidRDefault="00274A15" w:rsidP="003874A6">
      <w:r>
        <w:t>Next, navigate to the “Pairwise Surrogate Variable” tabbed panel.</w:t>
      </w:r>
    </w:p>
    <w:p w14:paraId="71ACFA03" w14:textId="77777777" w:rsidR="00950A10" w:rsidRDefault="00950A10" w:rsidP="003874A6"/>
    <w:p w14:paraId="1400467E" w14:textId="77777777" w:rsidR="00950A10" w:rsidRDefault="00950A10" w:rsidP="003874A6"/>
    <w:p w14:paraId="699D1DEC" w14:textId="77777777" w:rsidR="00950A10" w:rsidRDefault="00950A10" w:rsidP="003874A6"/>
    <w:p w14:paraId="4B91D1E2" w14:textId="77777777" w:rsidR="00950A10" w:rsidRDefault="00950A10" w:rsidP="003874A6"/>
    <w:p w14:paraId="342D9B33" w14:textId="54A7D409" w:rsidR="00950A10" w:rsidRDefault="00950A10" w:rsidP="003874A6">
      <w:pPr>
        <w:rPr>
          <w:sz w:val="32"/>
          <w:szCs w:val="32"/>
        </w:rPr>
      </w:pPr>
      <w:r w:rsidRPr="00950A10">
        <w:rPr>
          <w:b/>
          <w:sz w:val="32"/>
          <w:szCs w:val="32"/>
        </w:rPr>
        <w:t xml:space="preserve">VII. </w:t>
      </w:r>
      <w:bookmarkStart w:id="7" w:name="Pairwise_Surrogate_Variable"/>
      <w:r w:rsidRPr="00950A10">
        <w:rPr>
          <w:b/>
          <w:sz w:val="32"/>
          <w:szCs w:val="32"/>
        </w:rPr>
        <w:t>Pairwise Surrogate Variable</w:t>
      </w:r>
      <w:bookmarkEnd w:id="7"/>
    </w:p>
    <w:p w14:paraId="457E354F" w14:textId="77777777" w:rsidR="00950A10" w:rsidRPr="00950A10" w:rsidRDefault="00950A10" w:rsidP="003874A6"/>
    <w:p w14:paraId="221973E3" w14:textId="4FCA5F50" w:rsidR="00950A10" w:rsidRDefault="009E56FF" w:rsidP="003874A6">
      <w:r>
        <w:t>Upon clicking this tab, the user should see the following interactive plot:</w:t>
      </w:r>
    </w:p>
    <w:p w14:paraId="2C0BB9C9" w14:textId="77777777" w:rsidR="009E56FF" w:rsidRDefault="009E56FF" w:rsidP="003874A6"/>
    <w:p w14:paraId="104EB81F" w14:textId="1E0BEFA8" w:rsidR="009E56FF" w:rsidRDefault="009E56FF" w:rsidP="003874A6">
      <w:r>
        <w:rPr>
          <w:noProof/>
        </w:rPr>
        <w:drawing>
          <wp:inline distT="0" distB="0" distL="0" distR="0" wp14:anchorId="5BB19C91" wp14:editId="623BD29D">
            <wp:extent cx="5486400" cy="3328713"/>
            <wp:effectExtent l="0" t="0" r="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328713"/>
                    </a:xfrm>
                    <a:prstGeom prst="rect">
                      <a:avLst/>
                    </a:prstGeom>
                    <a:noFill/>
                    <a:ln>
                      <a:noFill/>
                    </a:ln>
                  </pic:spPr>
                </pic:pic>
              </a:graphicData>
            </a:graphic>
          </wp:inline>
        </w:drawing>
      </w:r>
    </w:p>
    <w:p w14:paraId="58E32B4F" w14:textId="74B891EA" w:rsidR="009E56FF" w:rsidRDefault="009E56FF" w:rsidP="003874A6"/>
    <w:p w14:paraId="3F5D6B9E" w14:textId="69562C46" w:rsidR="00D473F1" w:rsidRDefault="003D021E" w:rsidP="003874A6">
      <w:r>
        <w:t>Within this tab, users may visualize two surrogate variables in a 2-D scatterplot. Which SVs that are chosen may be chosen by using the drop down menus:</w:t>
      </w:r>
    </w:p>
    <w:p w14:paraId="08135951" w14:textId="6E9AD204" w:rsidR="003D021E" w:rsidRDefault="00833F59" w:rsidP="003874A6">
      <w:r>
        <w:rPr>
          <w:noProof/>
        </w:rPr>
        <w:drawing>
          <wp:inline distT="0" distB="0" distL="0" distR="0" wp14:anchorId="644AE547" wp14:editId="4FD30CB1">
            <wp:extent cx="2916555" cy="1588135"/>
            <wp:effectExtent l="0" t="0" r="4445" b="12065"/>
            <wp:docPr id="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6555" cy="1588135"/>
                    </a:xfrm>
                    <a:prstGeom prst="rect">
                      <a:avLst/>
                    </a:prstGeom>
                    <a:noFill/>
                    <a:ln>
                      <a:noFill/>
                    </a:ln>
                  </pic:spPr>
                </pic:pic>
              </a:graphicData>
            </a:graphic>
          </wp:inline>
        </w:drawing>
      </w:r>
    </w:p>
    <w:p w14:paraId="4477DCFD" w14:textId="03212CDE" w:rsidR="00833F59" w:rsidRDefault="00833F59" w:rsidP="003874A6">
      <w:r>
        <w:t>Users may also determine how to color the points (samples/cells) in the graph based on the known factors provided. Choose a selection in the “Color Points” drop down menu:</w:t>
      </w:r>
    </w:p>
    <w:p w14:paraId="4565A15D" w14:textId="45953CED" w:rsidR="00833F59" w:rsidRDefault="00833F59" w:rsidP="003874A6">
      <w:r>
        <w:rPr>
          <w:noProof/>
        </w:rPr>
        <w:drawing>
          <wp:inline distT="0" distB="0" distL="0" distR="0" wp14:anchorId="315E7BB8" wp14:editId="0CA8DF90">
            <wp:extent cx="2916555" cy="953135"/>
            <wp:effectExtent l="0" t="0" r="4445" b="12065"/>
            <wp:docPr id="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6555" cy="953135"/>
                    </a:xfrm>
                    <a:prstGeom prst="rect">
                      <a:avLst/>
                    </a:prstGeom>
                    <a:noFill/>
                    <a:ln>
                      <a:noFill/>
                    </a:ln>
                  </pic:spPr>
                </pic:pic>
              </a:graphicData>
            </a:graphic>
          </wp:inline>
        </w:drawing>
      </w:r>
    </w:p>
    <w:p w14:paraId="66EC4340" w14:textId="77777777" w:rsidR="00833F59" w:rsidRDefault="00833F59" w:rsidP="003874A6"/>
    <w:p w14:paraId="52D04E9D" w14:textId="0D1A3179" w:rsidR="003D021E" w:rsidRDefault="003D021E" w:rsidP="003874A6">
      <w:r>
        <w:t>And then click</w:t>
      </w:r>
      <w:r w:rsidR="00833F59">
        <w:t xml:space="preserve"> </w:t>
      </w:r>
      <w:r>
        <w:t>the “</w:t>
      </w:r>
      <w:r w:rsidR="00E3777C">
        <w:t>Update Pairwise SV Plot” button</w:t>
      </w:r>
      <w:r w:rsidR="00833F59">
        <w:t xml:space="preserve"> will produce an updated plot:</w:t>
      </w:r>
    </w:p>
    <w:p w14:paraId="2D43C15D" w14:textId="77777777" w:rsidR="00833F59" w:rsidRDefault="00833F59" w:rsidP="003874A6"/>
    <w:p w14:paraId="40E89D0A" w14:textId="67F6F9AB" w:rsidR="00833F59" w:rsidRDefault="00833F59" w:rsidP="003874A6">
      <w:r>
        <w:rPr>
          <w:noProof/>
        </w:rPr>
        <w:drawing>
          <wp:inline distT="0" distB="0" distL="0" distR="0" wp14:anchorId="01A5912C" wp14:editId="086063D4">
            <wp:extent cx="5486400" cy="5562146"/>
            <wp:effectExtent l="0" t="0" r="0" b="635"/>
            <wp:docPr id="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5562146"/>
                    </a:xfrm>
                    <a:prstGeom prst="rect">
                      <a:avLst/>
                    </a:prstGeom>
                    <a:noFill/>
                    <a:ln>
                      <a:noFill/>
                    </a:ln>
                  </pic:spPr>
                </pic:pic>
              </a:graphicData>
            </a:graphic>
          </wp:inline>
        </w:drawing>
      </w:r>
    </w:p>
    <w:p w14:paraId="74E277F5" w14:textId="77777777" w:rsidR="00833F59" w:rsidRDefault="00833F59" w:rsidP="003874A6"/>
    <w:p w14:paraId="2F20D7D5" w14:textId="402665E3" w:rsidR="00833F59" w:rsidRDefault="009F2E84" w:rsidP="003874A6">
      <w:r>
        <w:t>For each interactive plot produced, users may hover the “mouse” over each point on the graph to see the Surrogate Variable coordinates as well as the cell/sample name information.</w:t>
      </w:r>
    </w:p>
    <w:p w14:paraId="29E35433" w14:textId="77777777" w:rsidR="0062697A" w:rsidRDefault="0062697A" w:rsidP="003874A6"/>
    <w:p w14:paraId="11220165" w14:textId="65D66E19" w:rsidR="0062697A" w:rsidRDefault="0062697A" w:rsidP="003874A6">
      <w:r>
        <w:t>An HTML version of the plot may be downloaded by clicking the following button:</w:t>
      </w:r>
    </w:p>
    <w:p w14:paraId="23FC596D" w14:textId="77777777" w:rsidR="0062697A" w:rsidRDefault="0062697A" w:rsidP="003874A6"/>
    <w:p w14:paraId="609C4380" w14:textId="30ED8B0E" w:rsidR="0062697A" w:rsidRDefault="0062697A" w:rsidP="003874A6">
      <w:r>
        <w:rPr>
          <w:noProof/>
        </w:rPr>
        <w:drawing>
          <wp:inline distT="0" distB="0" distL="0" distR="0" wp14:anchorId="0047C866" wp14:editId="0DA5E923">
            <wp:extent cx="2839720" cy="567690"/>
            <wp:effectExtent l="0" t="0" r="5080" b="0"/>
            <wp:docPr id="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9720" cy="567690"/>
                    </a:xfrm>
                    <a:prstGeom prst="rect">
                      <a:avLst/>
                    </a:prstGeom>
                    <a:noFill/>
                    <a:ln>
                      <a:noFill/>
                    </a:ln>
                  </pic:spPr>
                </pic:pic>
              </a:graphicData>
            </a:graphic>
          </wp:inline>
        </w:drawing>
      </w:r>
    </w:p>
    <w:p w14:paraId="0EF92AEE" w14:textId="77777777" w:rsidR="0062697A" w:rsidRDefault="0062697A" w:rsidP="003874A6"/>
    <w:p w14:paraId="07F09287" w14:textId="46B15F03" w:rsidR="0062697A" w:rsidRDefault="00DA28AF" w:rsidP="003874A6">
      <w:r>
        <w:t>Next, navigate to the “Identify Marker Genes” tabbed panel.</w:t>
      </w:r>
    </w:p>
    <w:p w14:paraId="3B444FAC" w14:textId="77777777" w:rsidR="00DA28AF" w:rsidRDefault="00DA28AF" w:rsidP="003874A6"/>
    <w:p w14:paraId="1D96D4A7" w14:textId="77777777" w:rsidR="00DA28AF" w:rsidRDefault="00DA28AF" w:rsidP="003874A6"/>
    <w:p w14:paraId="3E68C6FC" w14:textId="35277EFF" w:rsidR="00DA28AF" w:rsidRDefault="00CA491E" w:rsidP="003874A6">
      <w:pPr>
        <w:rPr>
          <w:b/>
          <w:sz w:val="32"/>
          <w:szCs w:val="32"/>
        </w:rPr>
      </w:pPr>
      <w:r w:rsidRPr="00CA491E">
        <w:rPr>
          <w:b/>
          <w:sz w:val="32"/>
          <w:szCs w:val="32"/>
        </w:rPr>
        <w:t xml:space="preserve">VIII. </w:t>
      </w:r>
      <w:r>
        <w:rPr>
          <w:b/>
          <w:sz w:val="32"/>
          <w:szCs w:val="32"/>
        </w:rPr>
        <w:t xml:space="preserve"> </w:t>
      </w:r>
      <w:bookmarkStart w:id="8" w:name="Identify_Marker_Genes"/>
      <w:r>
        <w:rPr>
          <w:b/>
          <w:sz w:val="32"/>
          <w:szCs w:val="32"/>
        </w:rPr>
        <w:t>Identify Marker Genes</w:t>
      </w:r>
      <w:bookmarkEnd w:id="8"/>
    </w:p>
    <w:p w14:paraId="27B71182" w14:textId="77777777" w:rsidR="00CA491E" w:rsidRPr="00CA491E" w:rsidRDefault="00CA491E" w:rsidP="003874A6">
      <w:pPr>
        <w:rPr>
          <w:b/>
        </w:rPr>
      </w:pPr>
    </w:p>
    <w:p w14:paraId="7F9B9C0A" w14:textId="570BAF38" w:rsidR="00CA491E" w:rsidRDefault="00DA13E1" w:rsidP="003874A6">
      <w:r>
        <w:t xml:space="preserve">The next panel is where users can identify marker genes highly correlated with a Surrogate Variable. </w:t>
      </w:r>
      <w:r w:rsidR="000101A8">
        <w:t>There are several parameters that the user must specify:</w:t>
      </w:r>
    </w:p>
    <w:p w14:paraId="3F1D0312" w14:textId="77777777" w:rsidR="000101A8" w:rsidRDefault="000101A8" w:rsidP="003874A6"/>
    <w:p w14:paraId="764DC8F0" w14:textId="15248468" w:rsidR="000101A8" w:rsidRDefault="000101A8" w:rsidP="003874A6">
      <w:r>
        <w:rPr>
          <w:noProof/>
        </w:rPr>
        <w:drawing>
          <wp:inline distT="0" distB="0" distL="0" distR="0" wp14:anchorId="24119337" wp14:editId="0A44DF2F">
            <wp:extent cx="5486400" cy="4710113"/>
            <wp:effectExtent l="0" t="0" r="0" b="0"/>
            <wp:docPr id="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710113"/>
                    </a:xfrm>
                    <a:prstGeom prst="rect">
                      <a:avLst/>
                    </a:prstGeom>
                    <a:noFill/>
                    <a:ln>
                      <a:noFill/>
                    </a:ln>
                  </pic:spPr>
                </pic:pic>
              </a:graphicData>
            </a:graphic>
          </wp:inline>
        </w:drawing>
      </w:r>
    </w:p>
    <w:p w14:paraId="0F32C467" w14:textId="77777777" w:rsidR="000101A8" w:rsidRDefault="000101A8" w:rsidP="003874A6"/>
    <w:p w14:paraId="29A54AFB" w14:textId="0A7382C8" w:rsidR="000101A8" w:rsidRDefault="000F660B" w:rsidP="003874A6">
      <w:r>
        <w:t xml:space="preserve">First, the user must indicate which surrogate variables in “Choose SVs” they wish to find marker genes for. Here, users may choose multiple or single surrogate variables. Second, the user must specify which multiple hypothesis testing correction method should be applied. By default, BH (Benjamini – Hochberg procedure) is chosen, but users may also choose “bonferroni” or “none”. Third, the users must provide an adjusted p-value cutoff (default is 0.05) between 0 and 1. Fourth, the user must provide an R-squared cutoff (default 0.3) between 0 and 1 which is used to identify genes correlated with each SV of interest. </w:t>
      </w:r>
      <w:r w:rsidR="00E437A9">
        <w:t>Lastly, the user must specify which known factor information should be included in the final visualization of marker genes.</w:t>
      </w:r>
    </w:p>
    <w:p w14:paraId="0C6CEBFB" w14:textId="77777777" w:rsidR="00E437A9" w:rsidRDefault="00E437A9" w:rsidP="003874A6"/>
    <w:p w14:paraId="49A5ADF0" w14:textId="600F732E" w:rsidR="00E437A9" w:rsidRDefault="00E437A9" w:rsidP="003874A6">
      <w:r>
        <w:t>In the previous example, I notice that the SV2 surrogate variable is highly correlated with the “stim” known factor:</w:t>
      </w:r>
    </w:p>
    <w:p w14:paraId="0A2D0D37" w14:textId="6DFA903C" w:rsidR="00E437A9" w:rsidRPr="00CA491E" w:rsidRDefault="00E437A9" w:rsidP="003874A6">
      <w:r>
        <w:rPr>
          <w:noProof/>
        </w:rPr>
        <w:drawing>
          <wp:inline distT="0" distB="0" distL="0" distR="0" wp14:anchorId="55E1F870" wp14:editId="7EEA89D7">
            <wp:extent cx="5486400" cy="2316994"/>
            <wp:effectExtent l="0" t="0" r="0" b="0"/>
            <wp:docPr id="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316994"/>
                    </a:xfrm>
                    <a:prstGeom prst="rect">
                      <a:avLst/>
                    </a:prstGeom>
                    <a:noFill/>
                    <a:ln>
                      <a:noFill/>
                    </a:ln>
                  </pic:spPr>
                </pic:pic>
              </a:graphicData>
            </a:graphic>
          </wp:inline>
        </w:drawing>
      </w:r>
    </w:p>
    <w:p w14:paraId="0FBE2FE2" w14:textId="77777777" w:rsidR="00CA491E" w:rsidRDefault="00CA491E" w:rsidP="003874A6">
      <w:pPr>
        <w:rPr>
          <w:b/>
        </w:rPr>
      </w:pPr>
    </w:p>
    <w:p w14:paraId="06B6ED0D" w14:textId="5C81D206" w:rsidR="00E437A9" w:rsidRDefault="00E437A9" w:rsidP="003874A6">
      <w:r>
        <w:t>As a result, I decide to find marker genes associated with SV2 using the following options</w:t>
      </w:r>
      <w:r w:rsidR="001D6DF5">
        <w:t xml:space="preserve"> and clicking the “Identify Marker Genes” button</w:t>
      </w:r>
      <w:r>
        <w:t>:</w:t>
      </w:r>
    </w:p>
    <w:p w14:paraId="4EE70BA3" w14:textId="77777777" w:rsidR="00E437A9" w:rsidRDefault="00E437A9" w:rsidP="003874A6"/>
    <w:p w14:paraId="2BD3122C" w14:textId="090EB101" w:rsidR="00E437A9" w:rsidRDefault="00E437A9" w:rsidP="003874A6">
      <w:r>
        <w:rPr>
          <w:noProof/>
        </w:rPr>
        <w:drawing>
          <wp:inline distT="0" distB="0" distL="0" distR="0" wp14:anchorId="746FFE99" wp14:editId="420E6320">
            <wp:extent cx="5486400" cy="4589264"/>
            <wp:effectExtent l="0" t="0" r="0" b="8255"/>
            <wp:docPr id="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589264"/>
                    </a:xfrm>
                    <a:prstGeom prst="rect">
                      <a:avLst/>
                    </a:prstGeom>
                    <a:noFill/>
                    <a:ln>
                      <a:noFill/>
                    </a:ln>
                  </pic:spPr>
                </pic:pic>
              </a:graphicData>
            </a:graphic>
          </wp:inline>
        </w:drawing>
      </w:r>
    </w:p>
    <w:p w14:paraId="3CFDA921" w14:textId="77777777" w:rsidR="00E437A9" w:rsidRDefault="00E437A9" w:rsidP="003874A6"/>
    <w:p w14:paraId="6A4E1D0B" w14:textId="77777777" w:rsidR="00E437A9" w:rsidRDefault="00E437A9" w:rsidP="003874A6"/>
    <w:p w14:paraId="3C84CEEE" w14:textId="77777777" w:rsidR="00E437A9" w:rsidRDefault="00E437A9" w:rsidP="003874A6"/>
    <w:p w14:paraId="49551E71" w14:textId="0B767AE6" w:rsidR="009276EA" w:rsidRDefault="009276EA" w:rsidP="003874A6">
      <w:r>
        <w:t>The resulting heatmap image is produced displaying the expression levels of each marker gene for each sample:</w:t>
      </w:r>
    </w:p>
    <w:p w14:paraId="617DBC60" w14:textId="77777777" w:rsidR="009276EA" w:rsidRDefault="009276EA" w:rsidP="003874A6"/>
    <w:p w14:paraId="253FA636" w14:textId="4E03F369" w:rsidR="009276EA" w:rsidRDefault="009276EA" w:rsidP="003874A6">
      <w:r>
        <w:rPr>
          <w:noProof/>
        </w:rPr>
        <w:drawing>
          <wp:inline distT="0" distB="0" distL="0" distR="0" wp14:anchorId="1605593F" wp14:editId="15EBA06F">
            <wp:extent cx="5486400" cy="5652735"/>
            <wp:effectExtent l="0" t="0" r="0" b="12065"/>
            <wp:docPr id="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652735"/>
                    </a:xfrm>
                    <a:prstGeom prst="rect">
                      <a:avLst/>
                    </a:prstGeom>
                    <a:noFill/>
                    <a:ln>
                      <a:noFill/>
                    </a:ln>
                  </pic:spPr>
                </pic:pic>
              </a:graphicData>
            </a:graphic>
          </wp:inline>
        </w:drawing>
      </w:r>
    </w:p>
    <w:p w14:paraId="5B558259" w14:textId="77777777" w:rsidR="009276EA" w:rsidRDefault="009276EA" w:rsidP="003874A6"/>
    <w:p w14:paraId="7A768465" w14:textId="6EA5AD9F" w:rsidR="009276EA" w:rsidRDefault="00FF23D0" w:rsidP="003874A6">
      <w:r>
        <w:t>The resulting heatmap image may be downloaded in PDF format by clicking the button:</w:t>
      </w:r>
    </w:p>
    <w:p w14:paraId="1515ADA9" w14:textId="77777777" w:rsidR="00FF23D0" w:rsidRDefault="00FF23D0" w:rsidP="003874A6"/>
    <w:p w14:paraId="215FAE12" w14:textId="4F7D4D92" w:rsidR="00FF23D0" w:rsidRDefault="00FF23D0" w:rsidP="003874A6">
      <w:r>
        <w:rPr>
          <w:noProof/>
        </w:rPr>
        <w:drawing>
          <wp:inline distT="0" distB="0" distL="0" distR="0" wp14:anchorId="2FA8E733" wp14:editId="2E24A93D">
            <wp:extent cx="2666365" cy="548640"/>
            <wp:effectExtent l="0" t="0" r="635" b="1016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6365" cy="548640"/>
                    </a:xfrm>
                    <a:prstGeom prst="rect">
                      <a:avLst/>
                    </a:prstGeom>
                    <a:noFill/>
                    <a:ln>
                      <a:noFill/>
                    </a:ln>
                  </pic:spPr>
                </pic:pic>
              </a:graphicData>
            </a:graphic>
          </wp:inline>
        </w:drawing>
      </w:r>
    </w:p>
    <w:p w14:paraId="1F3D6357" w14:textId="77777777" w:rsidR="003B3B99" w:rsidRDefault="003B3B99" w:rsidP="003874A6"/>
    <w:p w14:paraId="1118D3A1" w14:textId="77777777" w:rsidR="003B3B99" w:rsidRDefault="003B3B99" w:rsidP="003874A6"/>
    <w:p w14:paraId="69D11594" w14:textId="24BFD8D3" w:rsidR="00977700" w:rsidRDefault="007E1E4F" w:rsidP="003874A6">
      <w:r>
        <w:t xml:space="preserve">Below this above heatmap is </w:t>
      </w:r>
      <w:r w:rsidR="00977700">
        <w:t>an interactive table</w:t>
      </w:r>
      <w:r>
        <w:t xml:space="preserve"> of the marker genes identified.</w:t>
      </w:r>
      <w:r w:rsidR="0068577D">
        <w:t xml:space="preserve"> </w:t>
      </w:r>
      <w:r w:rsidR="00977700">
        <w:t>The table will look like this:</w:t>
      </w:r>
    </w:p>
    <w:p w14:paraId="263655FA" w14:textId="77777777" w:rsidR="00977700" w:rsidRDefault="00977700" w:rsidP="003874A6"/>
    <w:p w14:paraId="79D4334D" w14:textId="13DB4751" w:rsidR="00977700" w:rsidRDefault="007E1E4F" w:rsidP="003874A6">
      <w:r>
        <w:rPr>
          <w:noProof/>
        </w:rPr>
        <w:drawing>
          <wp:inline distT="0" distB="0" distL="0" distR="0" wp14:anchorId="62B98112" wp14:editId="3B019027">
            <wp:extent cx="5486400" cy="2433964"/>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433964"/>
                    </a:xfrm>
                    <a:prstGeom prst="rect">
                      <a:avLst/>
                    </a:prstGeom>
                    <a:noFill/>
                    <a:ln>
                      <a:noFill/>
                    </a:ln>
                  </pic:spPr>
                </pic:pic>
              </a:graphicData>
            </a:graphic>
          </wp:inline>
        </w:drawing>
      </w:r>
    </w:p>
    <w:p w14:paraId="0869124B" w14:textId="77777777" w:rsidR="00977700" w:rsidRDefault="00977700" w:rsidP="003874A6"/>
    <w:p w14:paraId="41EF82AA" w14:textId="17FD7C04" w:rsidR="00977700" w:rsidRDefault="00977700" w:rsidP="003874A6">
      <w:r>
        <w:t>Where each entry of the table will contain a gene name and the SV they are associated with. If multiple SVs are provided, a gene may be associated with one or multiple SVs.</w:t>
      </w:r>
    </w:p>
    <w:p w14:paraId="19BD6B4A" w14:textId="77777777" w:rsidR="007C317F" w:rsidRDefault="007C317F" w:rsidP="003874A6"/>
    <w:p w14:paraId="5E3D8FD4" w14:textId="6034D7E2" w:rsidR="00C22142" w:rsidRDefault="00C22142" w:rsidP="003874A6">
      <w:r>
        <w:t>At the top of the table, users may specify how many entries to view (default: 10) or search for a particular gene of interest to filter the table results:</w:t>
      </w:r>
    </w:p>
    <w:p w14:paraId="71B59F9D" w14:textId="77777777" w:rsidR="00C22142" w:rsidRDefault="00C22142" w:rsidP="003874A6"/>
    <w:p w14:paraId="7FE06FFA" w14:textId="72714D8E" w:rsidR="00C22142" w:rsidRDefault="00C22142" w:rsidP="003874A6">
      <w:r>
        <w:rPr>
          <w:noProof/>
        </w:rPr>
        <w:drawing>
          <wp:inline distT="0" distB="0" distL="0" distR="0" wp14:anchorId="2221D33B" wp14:editId="1E81B97C">
            <wp:extent cx="5486400" cy="151162"/>
            <wp:effectExtent l="0" t="0" r="0" b="1270"/>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51162"/>
                    </a:xfrm>
                    <a:prstGeom prst="rect">
                      <a:avLst/>
                    </a:prstGeom>
                    <a:noFill/>
                    <a:ln>
                      <a:noFill/>
                    </a:ln>
                  </pic:spPr>
                </pic:pic>
              </a:graphicData>
            </a:graphic>
          </wp:inline>
        </w:drawing>
      </w:r>
    </w:p>
    <w:p w14:paraId="5F203D69" w14:textId="77777777" w:rsidR="00C22142" w:rsidRDefault="00C22142" w:rsidP="003874A6"/>
    <w:p w14:paraId="3D9C32E7" w14:textId="77777777" w:rsidR="00C22142" w:rsidRDefault="00C22142" w:rsidP="003874A6">
      <w:r>
        <w:t>Lastly, the table may be downloaded in comma-separated value (CSV) format by clicking the following button:</w:t>
      </w:r>
    </w:p>
    <w:p w14:paraId="043AF130" w14:textId="77777777" w:rsidR="00C22142" w:rsidRDefault="00C22142" w:rsidP="003874A6"/>
    <w:p w14:paraId="4FB29CDC" w14:textId="77777777" w:rsidR="00C22142" w:rsidRDefault="00C22142" w:rsidP="003874A6">
      <w:r>
        <w:rPr>
          <w:noProof/>
        </w:rPr>
        <w:drawing>
          <wp:inline distT="0" distB="0" distL="0" distR="0" wp14:anchorId="78EE1A52" wp14:editId="2CE515DC">
            <wp:extent cx="3310890" cy="529590"/>
            <wp:effectExtent l="0" t="0" r="0" b="3810"/>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0890" cy="529590"/>
                    </a:xfrm>
                    <a:prstGeom prst="rect">
                      <a:avLst/>
                    </a:prstGeom>
                    <a:noFill/>
                    <a:ln>
                      <a:noFill/>
                    </a:ln>
                  </pic:spPr>
                </pic:pic>
              </a:graphicData>
            </a:graphic>
          </wp:inline>
        </w:drawing>
      </w:r>
    </w:p>
    <w:p w14:paraId="1F28D1E4" w14:textId="77777777" w:rsidR="00C22142" w:rsidRDefault="00C22142" w:rsidP="003874A6"/>
    <w:p w14:paraId="72E0CB58" w14:textId="622E81D8" w:rsidR="00E6678A" w:rsidRDefault="00C22142" w:rsidP="003874A6">
      <w:r>
        <w:t xml:space="preserve"> </w:t>
      </w:r>
    </w:p>
    <w:p w14:paraId="2D3836E1" w14:textId="0AC42111" w:rsidR="00E6678A" w:rsidRDefault="00946E88">
      <w:r>
        <w:t>Next, navigate to the “Gene Enrichment Analysis” tabbed panel.</w:t>
      </w:r>
    </w:p>
    <w:p w14:paraId="4BB6E85C" w14:textId="42FCF959" w:rsidR="00EA6BAB" w:rsidRDefault="00EA6BAB">
      <w:r>
        <w:br w:type="page"/>
      </w:r>
    </w:p>
    <w:p w14:paraId="6370B41A" w14:textId="379B1854" w:rsidR="00215F61" w:rsidRPr="00DA0AA8" w:rsidRDefault="00215F61" w:rsidP="00215F61">
      <w:pPr>
        <w:rPr>
          <w:b/>
          <w:sz w:val="32"/>
          <w:szCs w:val="32"/>
        </w:rPr>
      </w:pPr>
      <w:r>
        <w:rPr>
          <w:b/>
          <w:sz w:val="32"/>
          <w:szCs w:val="32"/>
        </w:rPr>
        <w:t>IX</w:t>
      </w:r>
      <w:r w:rsidRPr="00DA0AA8">
        <w:rPr>
          <w:b/>
          <w:sz w:val="32"/>
          <w:szCs w:val="32"/>
        </w:rPr>
        <w:t xml:space="preserve">. </w:t>
      </w:r>
      <w:bookmarkStart w:id="9" w:name="Dimension_Reduction_and_Visualization"/>
      <w:r w:rsidRPr="00DA0AA8">
        <w:rPr>
          <w:b/>
          <w:sz w:val="32"/>
          <w:szCs w:val="32"/>
        </w:rPr>
        <w:t>Dimension Reduction and Visualization</w:t>
      </w:r>
      <w:bookmarkEnd w:id="9"/>
    </w:p>
    <w:p w14:paraId="75BA4779" w14:textId="77777777" w:rsidR="00215F61" w:rsidRDefault="00215F61" w:rsidP="00215F61">
      <w:pPr>
        <w:rPr>
          <w:b/>
        </w:rPr>
      </w:pPr>
    </w:p>
    <w:p w14:paraId="0654DABB" w14:textId="77777777" w:rsidR="00215F61" w:rsidRDefault="00215F61" w:rsidP="00215F61">
      <w:r>
        <w:t>In this last tabbed panel, users can perform dimension reduction analyses (PCA = principal component analysis, or t-SNE = t-distributed stochastic neighbor embedding) on their datasets to better visualize the complex structure/biology within their datasets:</w:t>
      </w:r>
    </w:p>
    <w:p w14:paraId="0057EF76" w14:textId="77777777" w:rsidR="00215F61" w:rsidRDefault="00215F61" w:rsidP="00215F61"/>
    <w:p w14:paraId="488A25D5" w14:textId="77777777" w:rsidR="00215F61" w:rsidRDefault="00215F61" w:rsidP="00215F61">
      <w:r>
        <w:rPr>
          <w:noProof/>
        </w:rPr>
        <w:drawing>
          <wp:inline distT="0" distB="0" distL="0" distR="0" wp14:anchorId="25F377EF" wp14:editId="084CCC91">
            <wp:extent cx="5486400" cy="869257"/>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869257"/>
                    </a:xfrm>
                    <a:prstGeom prst="rect">
                      <a:avLst/>
                    </a:prstGeom>
                    <a:noFill/>
                    <a:ln>
                      <a:noFill/>
                    </a:ln>
                  </pic:spPr>
                </pic:pic>
              </a:graphicData>
            </a:graphic>
          </wp:inline>
        </w:drawing>
      </w:r>
    </w:p>
    <w:p w14:paraId="76DA3D69" w14:textId="77777777" w:rsidR="00215F61" w:rsidRDefault="00215F61" w:rsidP="00215F61"/>
    <w:p w14:paraId="2D72D5FD" w14:textId="77777777" w:rsidR="00215F61" w:rsidRDefault="00215F61" w:rsidP="00215F61">
      <w:r>
        <w:t>After selecting either “PCA” or “t-SNE”, users should then specify how the plots should be colored in the “Color Points” menu. Here, the known factors provided in the metadata file in the beginning stages should be displayed. In this example, we will color points/samples by their “stim” metadata variable:</w:t>
      </w:r>
    </w:p>
    <w:p w14:paraId="298813AB" w14:textId="77777777" w:rsidR="00215F61" w:rsidRDefault="00215F61" w:rsidP="00215F61"/>
    <w:p w14:paraId="646748E8" w14:textId="77777777" w:rsidR="00215F61" w:rsidRDefault="00215F61" w:rsidP="00215F61">
      <w:r>
        <w:rPr>
          <w:noProof/>
        </w:rPr>
        <w:drawing>
          <wp:inline distT="0" distB="0" distL="0" distR="0" wp14:anchorId="055087C2" wp14:editId="7D74CFFA">
            <wp:extent cx="5486400" cy="871294"/>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871294"/>
                    </a:xfrm>
                    <a:prstGeom prst="rect">
                      <a:avLst/>
                    </a:prstGeom>
                    <a:noFill/>
                    <a:ln>
                      <a:noFill/>
                    </a:ln>
                  </pic:spPr>
                </pic:pic>
              </a:graphicData>
            </a:graphic>
          </wp:inline>
        </w:drawing>
      </w:r>
    </w:p>
    <w:p w14:paraId="6964D88D" w14:textId="77777777" w:rsidR="00215F61" w:rsidRDefault="00215F61" w:rsidP="00215F61"/>
    <w:p w14:paraId="5CD4851E" w14:textId="77777777" w:rsidR="00215F61" w:rsidRDefault="00215F61" w:rsidP="00215F61">
      <w:r>
        <w:t>Next, we run the dimension reduction analysis (this case, we chose t-SNE) and two 3-dimensional interactive plots are produced:</w:t>
      </w:r>
    </w:p>
    <w:p w14:paraId="6003BF51" w14:textId="77777777" w:rsidR="00215F61" w:rsidRDefault="00215F61" w:rsidP="00215F61"/>
    <w:p w14:paraId="0ACF6417" w14:textId="0EB9BC2A" w:rsidR="00215F61" w:rsidRDefault="004A7699" w:rsidP="00215F61">
      <w:r>
        <w:rPr>
          <w:noProof/>
        </w:rPr>
        <w:drawing>
          <wp:inline distT="0" distB="0" distL="0" distR="0" wp14:anchorId="23A308A5" wp14:editId="0FAF477B">
            <wp:extent cx="4569594" cy="3456477"/>
            <wp:effectExtent l="0" t="0" r="254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9848" cy="3456669"/>
                    </a:xfrm>
                    <a:prstGeom prst="rect">
                      <a:avLst/>
                    </a:prstGeom>
                    <a:noFill/>
                    <a:ln>
                      <a:noFill/>
                    </a:ln>
                  </pic:spPr>
                </pic:pic>
              </a:graphicData>
            </a:graphic>
          </wp:inline>
        </w:drawing>
      </w:r>
    </w:p>
    <w:p w14:paraId="513F7BC7" w14:textId="77777777" w:rsidR="00215F61" w:rsidRDefault="00215F61" w:rsidP="00215F61"/>
    <w:p w14:paraId="32383788" w14:textId="77777777" w:rsidR="004A7699" w:rsidRDefault="00215F61" w:rsidP="00215F61">
      <w:r>
        <w:t xml:space="preserve">Where the </w:t>
      </w:r>
      <w:r w:rsidR="004A7699">
        <w:t>top</w:t>
      </w:r>
      <w:r>
        <w:t xml:space="preserve"> plot represents the final t-SNE dimensions determined based on the original preprocessed data (all genes after filtering and normalization) and the bottom plot</w:t>
      </w:r>
      <w:r w:rsidR="004A7699">
        <w:t>:</w:t>
      </w:r>
    </w:p>
    <w:p w14:paraId="596FE5AD" w14:textId="77777777" w:rsidR="004A7699" w:rsidRDefault="004A7699" w:rsidP="00215F61"/>
    <w:p w14:paraId="688198A2" w14:textId="20EBF53B" w:rsidR="004A7699" w:rsidRDefault="004A7699" w:rsidP="00215F61">
      <w:r>
        <w:rPr>
          <w:noProof/>
        </w:rPr>
        <w:drawing>
          <wp:inline distT="0" distB="0" distL="0" distR="0" wp14:anchorId="07A234A6" wp14:editId="296E9925">
            <wp:extent cx="5486400" cy="4493780"/>
            <wp:effectExtent l="0" t="0" r="0" b="254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4493780"/>
                    </a:xfrm>
                    <a:prstGeom prst="rect">
                      <a:avLst/>
                    </a:prstGeom>
                    <a:noFill/>
                    <a:ln>
                      <a:noFill/>
                    </a:ln>
                  </pic:spPr>
                </pic:pic>
              </a:graphicData>
            </a:graphic>
          </wp:inline>
        </w:drawing>
      </w:r>
    </w:p>
    <w:p w14:paraId="34CAF0B8" w14:textId="77777777" w:rsidR="004A7699" w:rsidRDefault="004A7699" w:rsidP="00215F61"/>
    <w:p w14:paraId="0B7C6EB1" w14:textId="7389C756" w:rsidR="00215F61" w:rsidRDefault="00215F61" w:rsidP="00215F61">
      <w:r>
        <w:t>represents the final t-SNE dimensions determined based on the marker genes identified via IA-SVA</w:t>
      </w:r>
      <w:r w:rsidR="00F906FE">
        <w:t xml:space="preserve"> (28 genes associated with SV2 in this case)</w:t>
      </w:r>
      <w:r>
        <w:t>.</w:t>
      </w:r>
    </w:p>
    <w:p w14:paraId="3FAF3745" w14:textId="77777777" w:rsidR="00215F61" w:rsidRDefault="00215F61" w:rsidP="00215F61"/>
    <w:p w14:paraId="3FE82A08" w14:textId="77777777" w:rsidR="00215F61" w:rsidRDefault="00215F61" w:rsidP="00215F61">
      <w:r>
        <w:t>In both plots, users may hover their mouse over graph points to obtain information about the t-SNE dimensions and cell/sample name. Additionally, users may click and drag on the graph space to rotate the plot. Lastly, users may use their mouse wheel to zoom in and out of the plot.</w:t>
      </w:r>
    </w:p>
    <w:p w14:paraId="48A15830" w14:textId="77777777" w:rsidR="00215F61" w:rsidRDefault="00215F61" w:rsidP="00215F61"/>
    <w:p w14:paraId="70C0F6C3" w14:textId="77777777" w:rsidR="00215F61" w:rsidRDefault="00215F61" w:rsidP="00215F61">
      <w:r>
        <w:t>HTML versions of each plot may be downloaded using the following buttons:</w:t>
      </w:r>
    </w:p>
    <w:p w14:paraId="35C78210" w14:textId="77777777" w:rsidR="00215F61" w:rsidRDefault="00215F61" w:rsidP="00215F61"/>
    <w:p w14:paraId="41D576F4" w14:textId="77777777" w:rsidR="00215F61" w:rsidRDefault="00215F61" w:rsidP="00215F61">
      <w:r>
        <w:rPr>
          <w:noProof/>
        </w:rPr>
        <w:drawing>
          <wp:inline distT="0" distB="0" distL="0" distR="0" wp14:anchorId="0AF2BD9B" wp14:editId="1D608BFF">
            <wp:extent cx="5486400" cy="491763"/>
            <wp:effectExtent l="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91763"/>
                    </a:xfrm>
                    <a:prstGeom prst="rect">
                      <a:avLst/>
                    </a:prstGeom>
                    <a:noFill/>
                    <a:ln>
                      <a:noFill/>
                    </a:ln>
                  </pic:spPr>
                </pic:pic>
              </a:graphicData>
            </a:graphic>
          </wp:inline>
        </w:drawing>
      </w:r>
    </w:p>
    <w:p w14:paraId="354151FF" w14:textId="77777777" w:rsidR="00215F61" w:rsidRDefault="00215F61" w:rsidP="00215F61"/>
    <w:p w14:paraId="41DABD57" w14:textId="77777777" w:rsidR="00856E12" w:rsidRDefault="00856E12" w:rsidP="00215F61"/>
    <w:p w14:paraId="75A2EDF2" w14:textId="1708B897" w:rsidR="00856E12" w:rsidRDefault="00856E12" w:rsidP="00215F61">
      <w:r>
        <w:t>Next, navigate to the “Gene Enrichment Analysis” tabbed panel.</w:t>
      </w:r>
    </w:p>
    <w:p w14:paraId="76A2AD36" w14:textId="77777777" w:rsidR="00215F61" w:rsidRDefault="00215F61">
      <w:pPr>
        <w:rPr>
          <w:b/>
          <w:sz w:val="32"/>
          <w:szCs w:val="32"/>
        </w:rPr>
      </w:pPr>
    </w:p>
    <w:p w14:paraId="7DF6A2B2" w14:textId="352E121B" w:rsidR="00EA6BAB" w:rsidRPr="00EA6BAB" w:rsidRDefault="00EA6BAB">
      <w:pPr>
        <w:rPr>
          <w:b/>
          <w:sz w:val="32"/>
          <w:szCs w:val="32"/>
        </w:rPr>
      </w:pPr>
      <w:r w:rsidRPr="00EA6BAB">
        <w:rPr>
          <w:b/>
          <w:sz w:val="32"/>
          <w:szCs w:val="32"/>
        </w:rPr>
        <w:t xml:space="preserve">X. </w:t>
      </w:r>
      <w:bookmarkStart w:id="10" w:name="Gene_Enrichment_Analysis"/>
      <w:r w:rsidRPr="00EA6BAB">
        <w:rPr>
          <w:b/>
          <w:sz w:val="32"/>
          <w:szCs w:val="32"/>
        </w:rPr>
        <w:t>Gene Enrichment Analysis</w:t>
      </w:r>
      <w:bookmarkEnd w:id="10"/>
    </w:p>
    <w:p w14:paraId="79CC7EEC" w14:textId="77777777" w:rsidR="00EA6BAB" w:rsidRDefault="00EA6BAB"/>
    <w:p w14:paraId="4F73BCEF" w14:textId="7B8DDDA6" w:rsidR="00EA6BAB" w:rsidRDefault="00EA6BAB">
      <w:r>
        <w:t xml:space="preserve">In this tabbed panel, users can identify the Gene Ontology (GO) terms and pathways (KEGG, etc) that are associated with the marker genes identified in the previous tab “Identify Marker Genes”. </w:t>
      </w:r>
    </w:p>
    <w:p w14:paraId="39D50B28" w14:textId="77777777" w:rsidR="00583C08" w:rsidRDefault="00583C08"/>
    <w:p w14:paraId="3D19CA7C" w14:textId="6E995266" w:rsidR="00583C08" w:rsidRDefault="00583C08">
      <w:r>
        <w:t>From the drop-down menu, users may specify the pathway/database (by default, Gene Ontology Biological Process is selected):</w:t>
      </w:r>
    </w:p>
    <w:p w14:paraId="0AFB131C" w14:textId="77777777" w:rsidR="00583C08" w:rsidRDefault="00583C08"/>
    <w:p w14:paraId="2179BF6E" w14:textId="0CDC58E2" w:rsidR="00583C08" w:rsidRPr="00EA6BAB" w:rsidRDefault="00B4429E">
      <w:r>
        <w:rPr>
          <w:noProof/>
        </w:rPr>
        <w:drawing>
          <wp:inline distT="0" distB="0" distL="0" distR="0" wp14:anchorId="614EE004" wp14:editId="402A315A">
            <wp:extent cx="5486400" cy="704906"/>
            <wp:effectExtent l="0" t="0" r="0" b="635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704906"/>
                    </a:xfrm>
                    <a:prstGeom prst="rect">
                      <a:avLst/>
                    </a:prstGeom>
                    <a:noFill/>
                    <a:ln>
                      <a:noFill/>
                    </a:ln>
                  </pic:spPr>
                </pic:pic>
              </a:graphicData>
            </a:graphic>
          </wp:inline>
        </w:drawing>
      </w:r>
    </w:p>
    <w:p w14:paraId="1F60DDED" w14:textId="77777777" w:rsidR="00C22142" w:rsidRDefault="00C22142" w:rsidP="003874A6"/>
    <w:p w14:paraId="5D18DCFB" w14:textId="662138BF" w:rsidR="00583C08" w:rsidRDefault="0083536E" w:rsidP="003874A6">
      <w:r>
        <w:t>Other pathway/database options include:</w:t>
      </w:r>
    </w:p>
    <w:p w14:paraId="78797242" w14:textId="63FE0B90" w:rsidR="0083536E" w:rsidRDefault="0083536E" w:rsidP="0083536E">
      <w:pPr>
        <w:pStyle w:val="ListParagraph"/>
        <w:numPr>
          <w:ilvl w:val="0"/>
          <w:numId w:val="29"/>
        </w:numPr>
      </w:pPr>
      <w:r>
        <w:t>Gene Ontology Cellular Component</w:t>
      </w:r>
    </w:p>
    <w:p w14:paraId="0E8F71BA" w14:textId="04066580" w:rsidR="0083536E" w:rsidRDefault="0083536E" w:rsidP="0083536E">
      <w:pPr>
        <w:pStyle w:val="ListParagraph"/>
        <w:numPr>
          <w:ilvl w:val="0"/>
          <w:numId w:val="29"/>
        </w:numPr>
      </w:pPr>
      <w:r>
        <w:t>Gene Ontology Molecular Function</w:t>
      </w:r>
    </w:p>
    <w:p w14:paraId="6E47D07A" w14:textId="736CBBDD" w:rsidR="0083536E" w:rsidRDefault="0083536E" w:rsidP="0083536E">
      <w:pPr>
        <w:pStyle w:val="ListParagraph"/>
        <w:numPr>
          <w:ilvl w:val="0"/>
          <w:numId w:val="29"/>
        </w:numPr>
      </w:pPr>
      <w:r>
        <w:t>Kyoto Encyclopedia of Genes and Genomes (KEGG)</w:t>
      </w:r>
    </w:p>
    <w:p w14:paraId="27EFC383" w14:textId="1FC58147" w:rsidR="0083536E" w:rsidRPr="00977700" w:rsidRDefault="0083536E" w:rsidP="0083536E">
      <w:pPr>
        <w:pStyle w:val="ListParagraph"/>
        <w:numPr>
          <w:ilvl w:val="0"/>
          <w:numId w:val="29"/>
        </w:numPr>
      </w:pPr>
      <w:r>
        <w:t>Homo sapiens PBMC Cell Specific Modules</w:t>
      </w:r>
    </w:p>
    <w:p w14:paraId="2D6FF1EA" w14:textId="6E814650" w:rsidR="0083536E" w:rsidRDefault="0083536E" w:rsidP="0083536E">
      <w:pPr>
        <w:pStyle w:val="ListParagraph"/>
        <w:numPr>
          <w:ilvl w:val="1"/>
          <w:numId w:val="29"/>
        </w:numPr>
      </w:pPr>
      <w:r>
        <w:t>This contains a set of human peripheral blood mononuclear cell (PBMC) specific gene lists as determined from public 10X Genomics single cell RNA-seq data.</w:t>
      </w:r>
    </w:p>
    <w:p w14:paraId="76FD4A72" w14:textId="1B16A4C9" w:rsidR="0083536E" w:rsidRDefault="0083536E" w:rsidP="0083536E">
      <w:pPr>
        <w:pStyle w:val="ListParagraph"/>
        <w:numPr>
          <w:ilvl w:val="0"/>
          <w:numId w:val="29"/>
        </w:numPr>
      </w:pPr>
      <w:r>
        <w:t>Homo sapiens Immune Modules</w:t>
      </w:r>
    </w:p>
    <w:p w14:paraId="0C1EF7D7" w14:textId="2FD263D4" w:rsidR="0083536E" w:rsidRDefault="006A50E3" w:rsidP="0083536E">
      <w:pPr>
        <w:pStyle w:val="ListParagraph"/>
        <w:numPr>
          <w:ilvl w:val="1"/>
          <w:numId w:val="29"/>
        </w:numPr>
      </w:pPr>
      <w:r>
        <w:t xml:space="preserve">This contains </w:t>
      </w:r>
      <w:r w:rsidRPr="006A50E3">
        <w:t>blood transcriptional modules described by Chaussabel et al. (2008) and by Li et al. (2014) as well as metabolic profiling clusters from Weiner et al. (2012)</w:t>
      </w:r>
      <w:r>
        <w:t xml:space="preserve">, obtained from the “tmod” R package: </w:t>
      </w:r>
      <w:hyperlink r:id="rId55" w:history="1">
        <w:r w:rsidRPr="005F12AD">
          <w:rPr>
            <w:rStyle w:val="Hyperlink"/>
          </w:rPr>
          <w:t>https://cran.r-project.org/web/packages/tmod/vignettes/tmod.pdf</w:t>
        </w:r>
      </w:hyperlink>
      <w:r>
        <w:t>.</w:t>
      </w:r>
    </w:p>
    <w:p w14:paraId="4755DEA1" w14:textId="77777777" w:rsidR="006A50E3" w:rsidRDefault="006A50E3" w:rsidP="006A50E3"/>
    <w:p w14:paraId="5B02160F" w14:textId="58374C2C" w:rsidR="006A50E3" w:rsidRDefault="008E1160" w:rsidP="006A50E3">
      <w:r>
        <w:t>Next, the user should designate the “Species” type of their input data (by default: Homo sapiens is selected):</w:t>
      </w:r>
    </w:p>
    <w:p w14:paraId="2D48AD91" w14:textId="77777777" w:rsidR="008E1160" w:rsidRDefault="008E1160" w:rsidP="006A50E3"/>
    <w:p w14:paraId="5C720C2C" w14:textId="39B4E973" w:rsidR="008E1160" w:rsidRDefault="008E1160" w:rsidP="006A50E3">
      <w:r>
        <w:rPr>
          <w:noProof/>
        </w:rPr>
        <w:drawing>
          <wp:inline distT="0" distB="0" distL="0" distR="0" wp14:anchorId="570EFAD7" wp14:editId="54B83422">
            <wp:extent cx="5062855" cy="1039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2855" cy="1039495"/>
                    </a:xfrm>
                    <a:prstGeom prst="rect">
                      <a:avLst/>
                    </a:prstGeom>
                    <a:noFill/>
                    <a:ln>
                      <a:noFill/>
                    </a:ln>
                  </pic:spPr>
                </pic:pic>
              </a:graphicData>
            </a:graphic>
          </wp:inline>
        </w:drawing>
      </w:r>
    </w:p>
    <w:p w14:paraId="6C6CA63C" w14:textId="77777777" w:rsidR="008E1160" w:rsidRDefault="008E1160" w:rsidP="006A50E3"/>
    <w:p w14:paraId="1F323440" w14:textId="1D42D947" w:rsidR="008E1160" w:rsidRDefault="008E1160" w:rsidP="006A50E3">
      <w:r>
        <w:t>Currently, three species are supported:</w:t>
      </w:r>
    </w:p>
    <w:p w14:paraId="640B36D1" w14:textId="7DB39C9F" w:rsidR="008E1160" w:rsidRDefault="008E1160" w:rsidP="008E1160">
      <w:pPr>
        <w:pStyle w:val="ListParagraph"/>
        <w:numPr>
          <w:ilvl w:val="0"/>
          <w:numId w:val="30"/>
        </w:numPr>
      </w:pPr>
      <w:r>
        <w:t>Homo sapiens</w:t>
      </w:r>
    </w:p>
    <w:p w14:paraId="44474875" w14:textId="1FB41171" w:rsidR="008E1160" w:rsidRDefault="008E1160" w:rsidP="008E1160">
      <w:pPr>
        <w:pStyle w:val="ListParagraph"/>
        <w:numPr>
          <w:ilvl w:val="0"/>
          <w:numId w:val="30"/>
        </w:numPr>
      </w:pPr>
      <w:r>
        <w:t>Mus musculus</w:t>
      </w:r>
    </w:p>
    <w:p w14:paraId="6E8C8415" w14:textId="32D02F78" w:rsidR="008E1160" w:rsidRDefault="008E1160" w:rsidP="008E1160">
      <w:pPr>
        <w:pStyle w:val="ListParagraph"/>
        <w:numPr>
          <w:ilvl w:val="0"/>
          <w:numId w:val="30"/>
        </w:numPr>
      </w:pPr>
      <w:r>
        <w:t>Rattus norvegicus</w:t>
      </w:r>
    </w:p>
    <w:p w14:paraId="6C5277F0" w14:textId="77777777" w:rsidR="008E1160" w:rsidRDefault="008E1160" w:rsidP="008E1160"/>
    <w:p w14:paraId="2552F913" w14:textId="7FA16217" w:rsidR="008E1160" w:rsidRDefault="00641EF1" w:rsidP="008E1160">
      <w:r>
        <w:t>Lastly, before running the gene enrichment analysis, users should specify the multiple hypothesis testing correction method to use (either BH = benjamini and Hochberg procedure, bonferroni, or none)</w:t>
      </w:r>
      <w:r w:rsidR="00E173C2">
        <w:t>,</w:t>
      </w:r>
      <w:r>
        <w:t xml:space="preserve"> as well as the adjusted p-value cutoff (default set to 0.2)</w:t>
      </w:r>
      <w:r w:rsidR="00E173C2">
        <w:t>, and the maximum number of results to view after the enrichment analysis finishes calculation</w:t>
      </w:r>
      <w:r w:rsidR="00AE2A0C">
        <w:t xml:space="preserve"> (default set to 10 results)</w:t>
      </w:r>
      <w:r>
        <w:t>.</w:t>
      </w:r>
    </w:p>
    <w:p w14:paraId="3BAC09EC" w14:textId="77777777" w:rsidR="00641EF1" w:rsidRDefault="00641EF1" w:rsidP="008E1160"/>
    <w:p w14:paraId="3480C7FE" w14:textId="333D322E" w:rsidR="00641EF1" w:rsidRDefault="00E173C2" w:rsidP="008E1160">
      <w:r>
        <w:rPr>
          <w:noProof/>
        </w:rPr>
        <w:drawing>
          <wp:inline distT="0" distB="0" distL="0" distR="0" wp14:anchorId="28881B8B" wp14:editId="6BEFA239">
            <wp:extent cx="5486400" cy="2463432"/>
            <wp:effectExtent l="0" t="0" r="0" b="635"/>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463432"/>
                    </a:xfrm>
                    <a:prstGeom prst="rect">
                      <a:avLst/>
                    </a:prstGeom>
                    <a:noFill/>
                    <a:ln>
                      <a:noFill/>
                    </a:ln>
                  </pic:spPr>
                </pic:pic>
              </a:graphicData>
            </a:graphic>
          </wp:inline>
        </w:drawing>
      </w:r>
    </w:p>
    <w:p w14:paraId="47E8234A" w14:textId="77777777" w:rsidR="00641EF1" w:rsidRDefault="00641EF1" w:rsidP="008E1160"/>
    <w:p w14:paraId="2F9EB0DD" w14:textId="4A6255CD" w:rsidR="00641EF1" w:rsidRDefault="009F5E28" w:rsidP="008E1160">
      <w:r>
        <w:t>Upon clicking the blue “Run Enrichment Analysis” button, users should see the message prompt in the bottom right of their screen:</w:t>
      </w:r>
    </w:p>
    <w:p w14:paraId="54E75986" w14:textId="2D26289E" w:rsidR="009F5E28" w:rsidRDefault="009F5E28" w:rsidP="008E1160">
      <w:r>
        <w:rPr>
          <w:noProof/>
        </w:rPr>
        <w:drawing>
          <wp:inline distT="0" distB="0" distL="0" distR="0" wp14:anchorId="1633E6AD" wp14:editId="6B9779BD">
            <wp:extent cx="3773170" cy="1742440"/>
            <wp:effectExtent l="0" t="0" r="1143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3170" cy="1742440"/>
                    </a:xfrm>
                    <a:prstGeom prst="rect">
                      <a:avLst/>
                    </a:prstGeom>
                    <a:noFill/>
                    <a:ln>
                      <a:noFill/>
                    </a:ln>
                  </pic:spPr>
                </pic:pic>
              </a:graphicData>
            </a:graphic>
          </wp:inline>
        </w:drawing>
      </w:r>
    </w:p>
    <w:p w14:paraId="2BF1110A" w14:textId="77777777" w:rsidR="009F5E28" w:rsidRDefault="009F5E28" w:rsidP="008E1160"/>
    <w:p w14:paraId="5A2765BA" w14:textId="6D6B5CEF" w:rsidR="009F5E28" w:rsidRDefault="007634C3" w:rsidP="008E1160">
      <w:r>
        <w:t>After the analysis finishes, the users should see the following plot displaying the top 10 enriched pathways:</w:t>
      </w:r>
    </w:p>
    <w:p w14:paraId="45627690" w14:textId="77777777" w:rsidR="007634C3" w:rsidRDefault="007634C3" w:rsidP="008E1160"/>
    <w:p w14:paraId="4AD928DF" w14:textId="2F7A90C9" w:rsidR="007634C3" w:rsidRDefault="00F71E13" w:rsidP="008E1160">
      <w:r>
        <w:rPr>
          <w:noProof/>
        </w:rPr>
        <w:drawing>
          <wp:inline distT="0" distB="0" distL="0" distR="0" wp14:anchorId="341920FF" wp14:editId="1C43D272">
            <wp:extent cx="5486400" cy="5284053"/>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5284053"/>
                    </a:xfrm>
                    <a:prstGeom prst="rect">
                      <a:avLst/>
                    </a:prstGeom>
                    <a:noFill/>
                    <a:ln>
                      <a:noFill/>
                    </a:ln>
                  </pic:spPr>
                </pic:pic>
              </a:graphicData>
            </a:graphic>
          </wp:inline>
        </w:drawing>
      </w:r>
    </w:p>
    <w:p w14:paraId="2464B406" w14:textId="77777777" w:rsidR="00326CD9" w:rsidRDefault="00326CD9" w:rsidP="008E1160"/>
    <w:p w14:paraId="624AB80D" w14:textId="4460E4AE" w:rsidR="0038160B" w:rsidRDefault="007F1BE3" w:rsidP="008E1160">
      <w:r>
        <w:t xml:space="preserve">In the resultant plot, the y-axis displays the pathway/term name and the x-axis displays the “gene ratio” or the number of marker genes that fall within each pathway/term divided by the total number of genes in that pathway/term. The sizes of the points also reflect the “Count” or number of marker genes that fall within each pathway/term. </w:t>
      </w:r>
      <w:r w:rsidR="006C125F">
        <w:t>Points are colored by their adjusted p-value.</w:t>
      </w:r>
      <w:r w:rsidR="0038160B">
        <w:t xml:space="preserve"> </w:t>
      </w:r>
    </w:p>
    <w:p w14:paraId="48EEB848" w14:textId="77777777" w:rsidR="007F1BE3" w:rsidRDefault="007F1BE3" w:rsidP="008E1160"/>
    <w:p w14:paraId="465B16E8" w14:textId="74F067D9" w:rsidR="00326CD9" w:rsidRDefault="006C125F" w:rsidP="008E1160">
      <w:r>
        <w:t xml:space="preserve">The resultant plot </w:t>
      </w:r>
      <w:r w:rsidR="00326CD9">
        <w:t>may be downloaded by clicking the button:</w:t>
      </w:r>
    </w:p>
    <w:p w14:paraId="2F8A9C1F" w14:textId="77777777" w:rsidR="00326CD9" w:rsidRDefault="00326CD9" w:rsidP="008E1160"/>
    <w:p w14:paraId="150D0437" w14:textId="5DFF4900" w:rsidR="00326CD9" w:rsidRDefault="00326CD9" w:rsidP="008E1160">
      <w:r>
        <w:rPr>
          <w:noProof/>
        </w:rPr>
        <w:drawing>
          <wp:inline distT="0" distB="0" distL="0" distR="0" wp14:anchorId="429CC77A" wp14:editId="7E42A6A0">
            <wp:extent cx="3629025" cy="558165"/>
            <wp:effectExtent l="0" t="0" r="3175"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9025" cy="558165"/>
                    </a:xfrm>
                    <a:prstGeom prst="rect">
                      <a:avLst/>
                    </a:prstGeom>
                    <a:noFill/>
                    <a:ln>
                      <a:noFill/>
                    </a:ln>
                  </pic:spPr>
                </pic:pic>
              </a:graphicData>
            </a:graphic>
          </wp:inline>
        </w:drawing>
      </w:r>
    </w:p>
    <w:p w14:paraId="25A06F07" w14:textId="77777777" w:rsidR="00326CD9" w:rsidRDefault="00326CD9" w:rsidP="008E1160"/>
    <w:p w14:paraId="16D013D9" w14:textId="77777777" w:rsidR="00326CD9" w:rsidRDefault="00326CD9" w:rsidP="008E1160"/>
    <w:p w14:paraId="52283238" w14:textId="3CA934E2" w:rsidR="009D1890" w:rsidRDefault="00F73615" w:rsidP="009D1890">
      <w:r>
        <w:t>Below this plot will be</w:t>
      </w:r>
      <w:r w:rsidR="009D1890">
        <w:t xml:space="preserve"> an interactive table of the pathways/terms</w:t>
      </w:r>
      <w:r>
        <w:t xml:space="preserve"> identified in the enrichment analysis</w:t>
      </w:r>
      <w:r w:rsidR="009D1890">
        <w:t>. The table will look like this:</w:t>
      </w:r>
    </w:p>
    <w:p w14:paraId="64D89896" w14:textId="117B09FE" w:rsidR="00215F61" w:rsidRDefault="00215F61" w:rsidP="009D1890">
      <w:r>
        <w:rPr>
          <w:noProof/>
        </w:rPr>
        <w:drawing>
          <wp:inline distT="0" distB="0" distL="0" distR="0" wp14:anchorId="03E9B343" wp14:editId="32AC6686">
            <wp:extent cx="5486400" cy="2350075"/>
            <wp:effectExtent l="0" t="0" r="0" b="1270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0075"/>
                    </a:xfrm>
                    <a:prstGeom prst="rect">
                      <a:avLst/>
                    </a:prstGeom>
                    <a:noFill/>
                    <a:ln>
                      <a:noFill/>
                    </a:ln>
                  </pic:spPr>
                </pic:pic>
              </a:graphicData>
            </a:graphic>
          </wp:inline>
        </w:drawing>
      </w:r>
    </w:p>
    <w:p w14:paraId="147030A6" w14:textId="77ED4744" w:rsidR="009D1890" w:rsidRDefault="009D1890" w:rsidP="009D1890"/>
    <w:p w14:paraId="2F06FEFD" w14:textId="77777777" w:rsidR="009D1890" w:rsidRDefault="009D1890" w:rsidP="009D1890"/>
    <w:p w14:paraId="3A70E99B" w14:textId="2424F246" w:rsidR="009D1890" w:rsidRDefault="009D1890" w:rsidP="009D1890">
      <w:r>
        <w:t>Where each entry of the table will contain a pathway term (ID), description, GeneRatio (number of marker genes in the pathway divided by the total genes in the pathway)</w:t>
      </w:r>
      <w:r w:rsidR="003D17AE">
        <w:t>, p-value, adjusted p-value, q-value, and geneID (the marker genes that fell within the pathway).</w:t>
      </w:r>
    </w:p>
    <w:p w14:paraId="18BEB3E8" w14:textId="77777777" w:rsidR="009D1890" w:rsidRDefault="009D1890" w:rsidP="009D1890"/>
    <w:p w14:paraId="07C2F9BD" w14:textId="144C4D97" w:rsidR="009D1890" w:rsidRDefault="002C282E" w:rsidP="009D1890">
      <w:r>
        <w:t>T</w:t>
      </w:r>
      <w:r w:rsidR="009D1890">
        <w:t>he table may be downloaded in comma-separated value (CSV) format by clicking the following button:</w:t>
      </w:r>
    </w:p>
    <w:p w14:paraId="5DF37225" w14:textId="77777777" w:rsidR="009D1890" w:rsidRDefault="009D1890" w:rsidP="009D1890"/>
    <w:p w14:paraId="5F6ECEE7" w14:textId="22D16BB4" w:rsidR="009D1890" w:rsidRDefault="002C282E" w:rsidP="009D1890">
      <w:r>
        <w:rPr>
          <w:noProof/>
        </w:rPr>
        <w:drawing>
          <wp:inline distT="0" distB="0" distL="0" distR="0" wp14:anchorId="7B7134B0" wp14:editId="63828FBF">
            <wp:extent cx="4639310" cy="529590"/>
            <wp:effectExtent l="0" t="0" r="8890"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39310" cy="529590"/>
                    </a:xfrm>
                    <a:prstGeom prst="rect">
                      <a:avLst/>
                    </a:prstGeom>
                    <a:noFill/>
                    <a:ln>
                      <a:noFill/>
                    </a:ln>
                  </pic:spPr>
                </pic:pic>
              </a:graphicData>
            </a:graphic>
          </wp:inline>
        </w:drawing>
      </w:r>
    </w:p>
    <w:p w14:paraId="39046F7A" w14:textId="77777777" w:rsidR="009D1890" w:rsidRDefault="009D1890" w:rsidP="009D1890"/>
    <w:p w14:paraId="7A3562F3" w14:textId="77777777" w:rsidR="009D1890" w:rsidRDefault="009D1890" w:rsidP="009D1890">
      <w:r>
        <w:t xml:space="preserve"> </w:t>
      </w:r>
    </w:p>
    <w:p w14:paraId="5F5CE588" w14:textId="422A94FE" w:rsidR="00215F61" w:rsidRDefault="002B2E77" w:rsidP="008E1160">
      <w:pPr>
        <w:rPr>
          <w:b/>
          <w:sz w:val="28"/>
          <w:szCs w:val="28"/>
        </w:rPr>
      </w:pPr>
      <w:r w:rsidRPr="002B2E77">
        <w:rPr>
          <w:b/>
          <w:sz w:val="28"/>
          <w:szCs w:val="28"/>
        </w:rPr>
        <w:t>Enrichment Analysis using Custom Pathway/Module Terms</w:t>
      </w:r>
    </w:p>
    <w:p w14:paraId="7BB26732" w14:textId="77777777" w:rsidR="008F0AE1" w:rsidRDefault="008F0AE1" w:rsidP="008E1160">
      <w:pPr>
        <w:rPr>
          <w:b/>
          <w:sz w:val="28"/>
          <w:szCs w:val="28"/>
        </w:rPr>
      </w:pPr>
    </w:p>
    <w:p w14:paraId="062DDB82" w14:textId="7BFFDE6D" w:rsidR="008F0AE1" w:rsidRDefault="00920DF3" w:rsidP="008E1160">
      <w:r>
        <w:t xml:space="preserve">Users also have the option to provide their own/custom pathway/module terms for gene enrichment analysis. To do this, users must first </w:t>
      </w:r>
      <w:r w:rsidR="004B1B50">
        <w:t>select “Custom” from the “Enrichment Analysis Type” drop down menu. The user interface will update to the following:</w:t>
      </w:r>
    </w:p>
    <w:p w14:paraId="7ECF9123" w14:textId="4161DB92" w:rsidR="004B1B50" w:rsidRDefault="004B1B50" w:rsidP="008E1160">
      <w:r>
        <w:rPr>
          <w:noProof/>
        </w:rPr>
        <w:drawing>
          <wp:inline distT="0" distB="0" distL="0" distR="0" wp14:anchorId="45CE5474" wp14:editId="4C6F3737">
            <wp:extent cx="5486400" cy="1734811"/>
            <wp:effectExtent l="0" t="0" r="0" b="0"/>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734811"/>
                    </a:xfrm>
                    <a:prstGeom prst="rect">
                      <a:avLst/>
                    </a:prstGeom>
                    <a:noFill/>
                    <a:ln>
                      <a:noFill/>
                    </a:ln>
                  </pic:spPr>
                </pic:pic>
              </a:graphicData>
            </a:graphic>
          </wp:inline>
        </w:drawing>
      </w:r>
    </w:p>
    <w:p w14:paraId="61A6107F" w14:textId="77777777" w:rsidR="004B1B50" w:rsidRDefault="004B1B50" w:rsidP="008E1160"/>
    <w:p w14:paraId="3AD3B7F8" w14:textId="53A382C2" w:rsidR="004B1B50" w:rsidRDefault="004B1B50" w:rsidP="008E1160">
      <w:r>
        <w:t>Afterwards, the user must provide their custom data in the form of two tab-delimited text files:</w:t>
      </w:r>
    </w:p>
    <w:p w14:paraId="504215B4" w14:textId="77777777" w:rsidR="004B1B50" w:rsidRDefault="004B1B50" w:rsidP="008E1160"/>
    <w:p w14:paraId="5BEC39F7" w14:textId="345DC908" w:rsidR="004B1B50" w:rsidRDefault="004B1B50" w:rsidP="004B1B50">
      <w:pPr>
        <w:pStyle w:val="ListParagraph"/>
        <w:numPr>
          <w:ilvl w:val="0"/>
          <w:numId w:val="31"/>
        </w:numPr>
      </w:pPr>
      <w:r>
        <w:t>A custom gene and module file: a 2 column file with the first column corresponding to a pathway/module identifier (e.g., 1, 2, 3, etc) and the second column corresponding to a single gene symbol. An example is as follows:</w:t>
      </w:r>
    </w:p>
    <w:p w14:paraId="0CF60E3A" w14:textId="77777777" w:rsidR="004B1B50" w:rsidRDefault="004B1B50" w:rsidP="004B1B50"/>
    <w:p w14:paraId="31B1ACB7" w14:textId="516A0D80" w:rsidR="004B1B50" w:rsidRDefault="004B1B50" w:rsidP="004B1B50">
      <w:r>
        <w:rPr>
          <w:noProof/>
        </w:rPr>
        <w:drawing>
          <wp:inline distT="0" distB="0" distL="0" distR="0" wp14:anchorId="6DC735F3" wp14:editId="72DADD55">
            <wp:extent cx="1405255" cy="2425700"/>
            <wp:effectExtent l="0" t="0" r="0" b="12700"/>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05255" cy="2425700"/>
                    </a:xfrm>
                    <a:prstGeom prst="rect">
                      <a:avLst/>
                    </a:prstGeom>
                    <a:noFill/>
                    <a:ln>
                      <a:noFill/>
                    </a:ln>
                  </pic:spPr>
                </pic:pic>
              </a:graphicData>
            </a:graphic>
          </wp:inline>
        </w:drawing>
      </w:r>
    </w:p>
    <w:p w14:paraId="75644EEF" w14:textId="77777777" w:rsidR="004B1B50" w:rsidRDefault="004B1B50" w:rsidP="004B1B50"/>
    <w:p w14:paraId="6C94B8A5" w14:textId="799B64B3" w:rsidR="004B1B50" w:rsidRDefault="004B1B50" w:rsidP="004B1B50">
      <w:r>
        <w:t>Where each of the gene symbols in column two (V2) are a part of the pathway/module (currently named 1, in column V1).</w:t>
      </w:r>
    </w:p>
    <w:p w14:paraId="083BB390" w14:textId="77777777" w:rsidR="004B1B50" w:rsidRDefault="004B1B50" w:rsidP="004B1B50"/>
    <w:p w14:paraId="1FAD951A" w14:textId="77777777" w:rsidR="004B1B50" w:rsidRDefault="004B1B50" w:rsidP="004B1B50">
      <w:pPr>
        <w:pStyle w:val="ListParagraph"/>
        <w:numPr>
          <w:ilvl w:val="0"/>
          <w:numId w:val="31"/>
        </w:numPr>
      </w:pPr>
      <w:r>
        <w:t>A module identifier file: a 2 column file with the first column corresponding to a pathway/module identifier (e.g., 1, 2, 3, etc). Note, these identifiers should be the same as those found in column 1 of the gene and module file. The second column of this file will contain the pathway/module description/name. An example is as follows:</w:t>
      </w:r>
    </w:p>
    <w:p w14:paraId="279E9059" w14:textId="77777777" w:rsidR="004B1B50" w:rsidRDefault="004B1B50" w:rsidP="004B1B50"/>
    <w:p w14:paraId="3A2B90C6" w14:textId="0871A064" w:rsidR="004B1B50" w:rsidRDefault="004B1B50" w:rsidP="004B1B50">
      <w:r>
        <w:rPr>
          <w:noProof/>
        </w:rPr>
        <w:drawing>
          <wp:inline distT="0" distB="0" distL="0" distR="0" wp14:anchorId="4CCE1EF3" wp14:editId="71313957">
            <wp:extent cx="2078990" cy="2425700"/>
            <wp:effectExtent l="0" t="0" r="3810" b="12700"/>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78990" cy="2425700"/>
                    </a:xfrm>
                    <a:prstGeom prst="rect">
                      <a:avLst/>
                    </a:prstGeom>
                    <a:noFill/>
                    <a:ln>
                      <a:noFill/>
                    </a:ln>
                  </pic:spPr>
                </pic:pic>
              </a:graphicData>
            </a:graphic>
          </wp:inline>
        </w:drawing>
      </w:r>
      <w:r>
        <w:t xml:space="preserve"> </w:t>
      </w:r>
    </w:p>
    <w:p w14:paraId="0A22D175" w14:textId="77777777" w:rsidR="004B1B50" w:rsidRDefault="004B1B50" w:rsidP="004B1B50"/>
    <w:p w14:paraId="74CA20A9" w14:textId="44DDFED9" w:rsidR="004B1B50" w:rsidRPr="00D24169" w:rsidRDefault="004B1B50" w:rsidP="004B1B50">
      <w:r>
        <w:t>Where pathway/module identifier number 1 corresponds to a module named “T cells”.</w:t>
      </w:r>
      <w:bookmarkStart w:id="11" w:name="_GoBack"/>
      <w:bookmarkEnd w:id="11"/>
    </w:p>
    <w:sectPr w:rsidR="004B1B50" w:rsidRPr="00D24169" w:rsidSect="007978B2">
      <w:footerReference w:type="even" r:id="rId66"/>
      <w:footerReference w:type="default" r:id="rId6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0BE3C" w14:textId="77777777" w:rsidR="00920DF3" w:rsidRDefault="00920DF3" w:rsidP="00E80F8B">
      <w:r>
        <w:separator/>
      </w:r>
    </w:p>
  </w:endnote>
  <w:endnote w:type="continuationSeparator" w:id="0">
    <w:p w14:paraId="5489B365" w14:textId="77777777" w:rsidR="00920DF3" w:rsidRDefault="00920DF3" w:rsidP="00E80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005BD" w14:textId="77777777" w:rsidR="00920DF3" w:rsidRDefault="00920DF3"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888F5EF" w14:textId="77777777" w:rsidR="00920DF3" w:rsidRDefault="00920DF3" w:rsidP="00E80F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434F6A" w14:textId="77777777" w:rsidR="00920DF3" w:rsidRDefault="00920DF3" w:rsidP="004C4D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1B50">
      <w:rPr>
        <w:rStyle w:val="PageNumber"/>
        <w:noProof/>
      </w:rPr>
      <w:t>27</w:t>
    </w:r>
    <w:r>
      <w:rPr>
        <w:rStyle w:val="PageNumber"/>
      </w:rPr>
      <w:fldChar w:fldCharType="end"/>
    </w:r>
  </w:p>
  <w:p w14:paraId="4A4A8A9F" w14:textId="77777777" w:rsidR="00920DF3" w:rsidRDefault="00920DF3" w:rsidP="00E80F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475173" w14:textId="77777777" w:rsidR="00920DF3" w:rsidRDefault="00920DF3" w:rsidP="00E80F8B">
      <w:r>
        <w:separator/>
      </w:r>
    </w:p>
  </w:footnote>
  <w:footnote w:type="continuationSeparator" w:id="0">
    <w:p w14:paraId="45169CF7" w14:textId="77777777" w:rsidR="00920DF3" w:rsidRDefault="00920DF3" w:rsidP="00E80F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3F27"/>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3147A7"/>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86BBC"/>
    <w:multiLevelType w:val="hybridMultilevel"/>
    <w:tmpl w:val="7F4AA5BE"/>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63A7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787D1E"/>
    <w:multiLevelType w:val="hybridMultilevel"/>
    <w:tmpl w:val="9C92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37BA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BC5881"/>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3B6E9C"/>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FB1F75"/>
    <w:multiLevelType w:val="hybridMultilevel"/>
    <w:tmpl w:val="FBAA3AA4"/>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7F7015"/>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0E59A5"/>
    <w:multiLevelType w:val="hybridMultilevel"/>
    <w:tmpl w:val="D2361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C746C0"/>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52665"/>
    <w:multiLevelType w:val="hybridMultilevel"/>
    <w:tmpl w:val="7AB8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424103"/>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266E6"/>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D63054"/>
    <w:multiLevelType w:val="hybridMultilevel"/>
    <w:tmpl w:val="AA80836C"/>
    <w:lvl w:ilvl="0" w:tplc="58F07CBE">
      <w:start w:val="1"/>
      <w:numFmt w:val="upperRoman"/>
      <w:lvlText w:val="%1."/>
      <w:lvlJc w:val="left"/>
      <w:pPr>
        <w:ind w:left="1080" w:hanging="72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B00144"/>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532619"/>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4C0F1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F01A9"/>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6B3EE6"/>
    <w:multiLevelType w:val="hybridMultilevel"/>
    <w:tmpl w:val="EA126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3C59D8"/>
    <w:multiLevelType w:val="hybridMultilevel"/>
    <w:tmpl w:val="8528D7EC"/>
    <w:lvl w:ilvl="0" w:tplc="DF4014C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2A13AB"/>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9E706E"/>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BC4522"/>
    <w:multiLevelType w:val="hybridMultilevel"/>
    <w:tmpl w:val="1DF82CB4"/>
    <w:lvl w:ilvl="0" w:tplc="58F07CBE">
      <w:start w:val="1"/>
      <w:numFmt w:val="upperRoman"/>
      <w:lvlText w:val="%1."/>
      <w:lvlJc w:val="left"/>
      <w:pPr>
        <w:ind w:left="1080" w:hanging="72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A958A9"/>
    <w:multiLevelType w:val="multilevel"/>
    <w:tmpl w:val="00EA7300"/>
    <w:lvl w:ilvl="0">
      <w:start w:val="7"/>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DC1568C"/>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C46E7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6B6335"/>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6E119B"/>
    <w:multiLevelType w:val="hybridMultilevel"/>
    <w:tmpl w:val="00EA7300"/>
    <w:lvl w:ilvl="0" w:tplc="DF4014CE">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6E2640"/>
    <w:multiLevelType w:val="hybridMultilevel"/>
    <w:tmpl w:val="354E5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26"/>
  </w:num>
  <w:num w:numId="4">
    <w:abstractNumId w:val="28"/>
  </w:num>
  <w:num w:numId="5">
    <w:abstractNumId w:val="2"/>
  </w:num>
  <w:num w:numId="6">
    <w:abstractNumId w:val="18"/>
  </w:num>
  <w:num w:numId="7">
    <w:abstractNumId w:val="24"/>
  </w:num>
  <w:num w:numId="8">
    <w:abstractNumId w:val="14"/>
  </w:num>
  <w:num w:numId="9">
    <w:abstractNumId w:val="7"/>
  </w:num>
  <w:num w:numId="10">
    <w:abstractNumId w:val="9"/>
  </w:num>
  <w:num w:numId="11">
    <w:abstractNumId w:val="17"/>
  </w:num>
  <w:num w:numId="12">
    <w:abstractNumId w:val="6"/>
  </w:num>
  <w:num w:numId="13">
    <w:abstractNumId w:val="5"/>
  </w:num>
  <w:num w:numId="14">
    <w:abstractNumId w:val="23"/>
  </w:num>
  <w:num w:numId="15">
    <w:abstractNumId w:val="11"/>
  </w:num>
  <w:num w:numId="16">
    <w:abstractNumId w:val="16"/>
  </w:num>
  <w:num w:numId="17">
    <w:abstractNumId w:val="27"/>
  </w:num>
  <w:num w:numId="18">
    <w:abstractNumId w:val="3"/>
  </w:num>
  <w:num w:numId="19">
    <w:abstractNumId w:val="1"/>
  </w:num>
  <w:num w:numId="20">
    <w:abstractNumId w:val="25"/>
  </w:num>
  <w:num w:numId="21">
    <w:abstractNumId w:val="29"/>
  </w:num>
  <w:num w:numId="22">
    <w:abstractNumId w:val="13"/>
  </w:num>
  <w:num w:numId="23">
    <w:abstractNumId w:val="0"/>
  </w:num>
  <w:num w:numId="24">
    <w:abstractNumId w:val="8"/>
  </w:num>
  <w:num w:numId="25">
    <w:abstractNumId w:val="20"/>
  </w:num>
  <w:num w:numId="26">
    <w:abstractNumId w:val="22"/>
  </w:num>
  <w:num w:numId="27">
    <w:abstractNumId w:val="30"/>
  </w:num>
  <w:num w:numId="28">
    <w:abstractNumId w:val="15"/>
  </w:num>
  <w:num w:numId="29">
    <w:abstractNumId w:val="10"/>
  </w:num>
  <w:num w:numId="30">
    <w:abstractNumId w:val="1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35F"/>
    <w:rsid w:val="00006A08"/>
    <w:rsid w:val="000101A8"/>
    <w:rsid w:val="00020988"/>
    <w:rsid w:val="00024FC6"/>
    <w:rsid w:val="000362E1"/>
    <w:rsid w:val="00036385"/>
    <w:rsid w:val="0004262A"/>
    <w:rsid w:val="00045998"/>
    <w:rsid w:val="00062AAC"/>
    <w:rsid w:val="00065267"/>
    <w:rsid w:val="00066B34"/>
    <w:rsid w:val="00071CCF"/>
    <w:rsid w:val="00087122"/>
    <w:rsid w:val="00087B7B"/>
    <w:rsid w:val="000952F4"/>
    <w:rsid w:val="000A054F"/>
    <w:rsid w:val="000A311F"/>
    <w:rsid w:val="000B1E07"/>
    <w:rsid w:val="000B3B6C"/>
    <w:rsid w:val="000C3944"/>
    <w:rsid w:val="000D58AF"/>
    <w:rsid w:val="000E684C"/>
    <w:rsid w:val="000F4AE2"/>
    <w:rsid w:val="000F5EBC"/>
    <w:rsid w:val="000F660B"/>
    <w:rsid w:val="00104BDA"/>
    <w:rsid w:val="00124A64"/>
    <w:rsid w:val="00133890"/>
    <w:rsid w:val="00150027"/>
    <w:rsid w:val="001537A4"/>
    <w:rsid w:val="00155BF9"/>
    <w:rsid w:val="00166B6E"/>
    <w:rsid w:val="00171DD9"/>
    <w:rsid w:val="001746B1"/>
    <w:rsid w:val="001B52DC"/>
    <w:rsid w:val="001B5496"/>
    <w:rsid w:val="001C5C26"/>
    <w:rsid w:val="001D6DF5"/>
    <w:rsid w:val="001D77AB"/>
    <w:rsid w:val="001E3956"/>
    <w:rsid w:val="001E3F63"/>
    <w:rsid w:val="001F7D01"/>
    <w:rsid w:val="00202E07"/>
    <w:rsid w:val="00213AFE"/>
    <w:rsid w:val="00215F61"/>
    <w:rsid w:val="002240EC"/>
    <w:rsid w:val="00226291"/>
    <w:rsid w:val="0023273B"/>
    <w:rsid w:val="00234E49"/>
    <w:rsid w:val="002351B3"/>
    <w:rsid w:val="00237FA2"/>
    <w:rsid w:val="002474A2"/>
    <w:rsid w:val="00252F4B"/>
    <w:rsid w:val="002602E9"/>
    <w:rsid w:val="00273A5D"/>
    <w:rsid w:val="00274A15"/>
    <w:rsid w:val="00282F3E"/>
    <w:rsid w:val="00291B03"/>
    <w:rsid w:val="00294208"/>
    <w:rsid w:val="00294EBF"/>
    <w:rsid w:val="002A37E8"/>
    <w:rsid w:val="002B2E77"/>
    <w:rsid w:val="002C282E"/>
    <w:rsid w:val="002C40EB"/>
    <w:rsid w:val="002C483F"/>
    <w:rsid w:val="002D62C1"/>
    <w:rsid w:val="002D6923"/>
    <w:rsid w:val="002E1A9B"/>
    <w:rsid w:val="00301658"/>
    <w:rsid w:val="00310713"/>
    <w:rsid w:val="00311811"/>
    <w:rsid w:val="00326CD9"/>
    <w:rsid w:val="00333A42"/>
    <w:rsid w:val="00336195"/>
    <w:rsid w:val="00336221"/>
    <w:rsid w:val="0036480C"/>
    <w:rsid w:val="00365104"/>
    <w:rsid w:val="003774E8"/>
    <w:rsid w:val="0038160B"/>
    <w:rsid w:val="003825B5"/>
    <w:rsid w:val="00386AFD"/>
    <w:rsid w:val="00386FE8"/>
    <w:rsid w:val="003874A6"/>
    <w:rsid w:val="0039353C"/>
    <w:rsid w:val="003A6A83"/>
    <w:rsid w:val="003B3825"/>
    <w:rsid w:val="003B3B99"/>
    <w:rsid w:val="003B78D7"/>
    <w:rsid w:val="003B7A21"/>
    <w:rsid w:val="003C2548"/>
    <w:rsid w:val="003C4FF1"/>
    <w:rsid w:val="003C62EA"/>
    <w:rsid w:val="003D021E"/>
    <w:rsid w:val="003D17AE"/>
    <w:rsid w:val="003D26B7"/>
    <w:rsid w:val="003D2BCC"/>
    <w:rsid w:val="003D5A3A"/>
    <w:rsid w:val="003D76E2"/>
    <w:rsid w:val="003E5BDC"/>
    <w:rsid w:val="003F2FA0"/>
    <w:rsid w:val="00401B31"/>
    <w:rsid w:val="00410112"/>
    <w:rsid w:val="004148D1"/>
    <w:rsid w:val="004335D2"/>
    <w:rsid w:val="0043435C"/>
    <w:rsid w:val="00434FD7"/>
    <w:rsid w:val="00440BD1"/>
    <w:rsid w:val="004434F6"/>
    <w:rsid w:val="00454EEA"/>
    <w:rsid w:val="00463658"/>
    <w:rsid w:val="004651EA"/>
    <w:rsid w:val="0046674E"/>
    <w:rsid w:val="00470DA9"/>
    <w:rsid w:val="00471118"/>
    <w:rsid w:val="00475BE0"/>
    <w:rsid w:val="00476899"/>
    <w:rsid w:val="0048439C"/>
    <w:rsid w:val="00491453"/>
    <w:rsid w:val="00491A98"/>
    <w:rsid w:val="00491F94"/>
    <w:rsid w:val="004A2BC4"/>
    <w:rsid w:val="004A3C4A"/>
    <w:rsid w:val="004A4576"/>
    <w:rsid w:val="004A7699"/>
    <w:rsid w:val="004B1B50"/>
    <w:rsid w:val="004C00A1"/>
    <w:rsid w:val="004C217C"/>
    <w:rsid w:val="004C4DA8"/>
    <w:rsid w:val="004C56E2"/>
    <w:rsid w:val="004D502B"/>
    <w:rsid w:val="004E0024"/>
    <w:rsid w:val="00500F9A"/>
    <w:rsid w:val="00514D01"/>
    <w:rsid w:val="00516E7E"/>
    <w:rsid w:val="0052282B"/>
    <w:rsid w:val="00525FF8"/>
    <w:rsid w:val="00530826"/>
    <w:rsid w:val="0053291C"/>
    <w:rsid w:val="00534483"/>
    <w:rsid w:val="0053645A"/>
    <w:rsid w:val="005405CE"/>
    <w:rsid w:val="00541B4A"/>
    <w:rsid w:val="00542FCF"/>
    <w:rsid w:val="0054456B"/>
    <w:rsid w:val="005463A7"/>
    <w:rsid w:val="005474C4"/>
    <w:rsid w:val="00550455"/>
    <w:rsid w:val="00550EC0"/>
    <w:rsid w:val="0056002E"/>
    <w:rsid w:val="00562315"/>
    <w:rsid w:val="00582235"/>
    <w:rsid w:val="005838A1"/>
    <w:rsid w:val="00583C08"/>
    <w:rsid w:val="005847C0"/>
    <w:rsid w:val="00597CF5"/>
    <w:rsid w:val="005A0F8B"/>
    <w:rsid w:val="005A238E"/>
    <w:rsid w:val="005C5AE2"/>
    <w:rsid w:val="005E3ECE"/>
    <w:rsid w:val="005E6640"/>
    <w:rsid w:val="005F25EB"/>
    <w:rsid w:val="006013F0"/>
    <w:rsid w:val="00602217"/>
    <w:rsid w:val="00613278"/>
    <w:rsid w:val="00617997"/>
    <w:rsid w:val="00622A07"/>
    <w:rsid w:val="0062697A"/>
    <w:rsid w:val="0063025A"/>
    <w:rsid w:val="00641EF1"/>
    <w:rsid w:val="006428A4"/>
    <w:rsid w:val="006452AD"/>
    <w:rsid w:val="00654135"/>
    <w:rsid w:val="0065509F"/>
    <w:rsid w:val="0068577D"/>
    <w:rsid w:val="006A3D23"/>
    <w:rsid w:val="006A50E3"/>
    <w:rsid w:val="006A57A1"/>
    <w:rsid w:val="006B00BC"/>
    <w:rsid w:val="006B0ECF"/>
    <w:rsid w:val="006B5A0E"/>
    <w:rsid w:val="006C125F"/>
    <w:rsid w:val="006C1B97"/>
    <w:rsid w:val="006D507B"/>
    <w:rsid w:val="006E6C40"/>
    <w:rsid w:val="006F64BC"/>
    <w:rsid w:val="00706ABA"/>
    <w:rsid w:val="00717908"/>
    <w:rsid w:val="00724659"/>
    <w:rsid w:val="00724D9F"/>
    <w:rsid w:val="00747BA9"/>
    <w:rsid w:val="00753937"/>
    <w:rsid w:val="00760B42"/>
    <w:rsid w:val="007634C3"/>
    <w:rsid w:val="00771797"/>
    <w:rsid w:val="00774F8B"/>
    <w:rsid w:val="007763EF"/>
    <w:rsid w:val="00777A7A"/>
    <w:rsid w:val="00781D16"/>
    <w:rsid w:val="00787681"/>
    <w:rsid w:val="00790688"/>
    <w:rsid w:val="007978B2"/>
    <w:rsid w:val="00797EEE"/>
    <w:rsid w:val="007A6235"/>
    <w:rsid w:val="007A72F8"/>
    <w:rsid w:val="007B32D8"/>
    <w:rsid w:val="007B4493"/>
    <w:rsid w:val="007C1E6F"/>
    <w:rsid w:val="007C317F"/>
    <w:rsid w:val="007D513C"/>
    <w:rsid w:val="007D63A5"/>
    <w:rsid w:val="007E1E4F"/>
    <w:rsid w:val="007E23C8"/>
    <w:rsid w:val="007F00D4"/>
    <w:rsid w:val="007F1BE3"/>
    <w:rsid w:val="007F2176"/>
    <w:rsid w:val="007F7110"/>
    <w:rsid w:val="00800348"/>
    <w:rsid w:val="00801E0E"/>
    <w:rsid w:val="00805383"/>
    <w:rsid w:val="00806BBA"/>
    <w:rsid w:val="00806D3E"/>
    <w:rsid w:val="00807049"/>
    <w:rsid w:val="00814D77"/>
    <w:rsid w:val="00816482"/>
    <w:rsid w:val="0082435F"/>
    <w:rsid w:val="00833E02"/>
    <w:rsid w:val="00833F59"/>
    <w:rsid w:val="0083536E"/>
    <w:rsid w:val="0083669E"/>
    <w:rsid w:val="0084771C"/>
    <w:rsid w:val="00854EC7"/>
    <w:rsid w:val="008553C6"/>
    <w:rsid w:val="00856E12"/>
    <w:rsid w:val="0086718D"/>
    <w:rsid w:val="00872480"/>
    <w:rsid w:val="00880F2B"/>
    <w:rsid w:val="00883B18"/>
    <w:rsid w:val="00893D42"/>
    <w:rsid w:val="0089532F"/>
    <w:rsid w:val="00896964"/>
    <w:rsid w:val="008A3D30"/>
    <w:rsid w:val="008B3E42"/>
    <w:rsid w:val="008D01EF"/>
    <w:rsid w:val="008E1160"/>
    <w:rsid w:val="008F0AE1"/>
    <w:rsid w:val="00901607"/>
    <w:rsid w:val="00903BE3"/>
    <w:rsid w:val="009054AC"/>
    <w:rsid w:val="0090577C"/>
    <w:rsid w:val="00917851"/>
    <w:rsid w:val="00920707"/>
    <w:rsid w:val="00920DF3"/>
    <w:rsid w:val="009276EA"/>
    <w:rsid w:val="009302B0"/>
    <w:rsid w:val="0093263B"/>
    <w:rsid w:val="0094005F"/>
    <w:rsid w:val="00940E51"/>
    <w:rsid w:val="00946E88"/>
    <w:rsid w:val="00950A10"/>
    <w:rsid w:val="00954469"/>
    <w:rsid w:val="00955DAD"/>
    <w:rsid w:val="00960457"/>
    <w:rsid w:val="00974164"/>
    <w:rsid w:val="009754A1"/>
    <w:rsid w:val="00977700"/>
    <w:rsid w:val="00985C59"/>
    <w:rsid w:val="00995A20"/>
    <w:rsid w:val="009A09D3"/>
    <w:rsid w:val="009A43E4"/>
    <w:rsid w:val="009A58E2"/>
    <w:rsid w:val="009B091B"/>
    <w:rsid w:val="009B5A06"/>
    <w:rsid w:val="009C60EA"/>
    <w:rsid w:val="009D1890"/>
    <w:rsid w:val="009E2C33"/>
    <w:rsid w:val="009E4693"/>
    <w:rsid w:val="009E56FF"/>
    <w:rsid w:val="009E7AEB"/>
    <w:rsid w:val="009F2E84"/>
    <w:rsid w:val="009F5E28"/>
    <w:rsid w:val="00A00595"/>
    <w:rsid w:val="00A01381"/>
    <w:rsid w:val="00A0632E"/>
    <w:rsid w:val="00A07305"/>
    <w:rsid w:val="00A1706D"/>
    <w:rsid w:val="00A25DC7"/>
    <w:rsid w:val="00A3304A"/>
    <w:rsid w:val="00A353BF"/>
    <w:rsid w:val="00A37D15"/>
    <w:rsid w:val="00A4244A"/>
    <w:rsid w:val="00A43EF3"/>
    <w:rsid w:val="00A44A15"/>
    <w:rsid w:val="00A52ED1"/>
    <w:rsid w:val="00A5699C"/>
    <w:rsid w:val="00A60C3B"/>
    <w:rsid w:val="00A77663"/>
    <w:rsid w:val="00A77B50"/>
    <w:rsid w:val="00AA7519"/>
    <w:rsid w:val="00AA7BE1"/>
    <w:rsid w:val="00AB1970"/>
    <w:rsid w:val="00AB5B27"/>
    <w:rsid w:val="00AC57B1"/>
    <w:rsid w:val="00AE2A0C"/>
    <w:rsid w:val="00AE6394"/>
    <w:rsid w:val="00AF66FE"/>
    <w:rsid w:val="00B2434C"/>
    <w:rsid w:val="00B2583C"/>
    <w:rsid w:val="00B25CB0"/>
    <w:rsid w:val="00B346A1"/>
    <w:rsid w:val="00B43A63"/>
    <w:rsid w:val="00B4429E"/>
    <w:rsid w:val="00B65BF3"/>
    <w:rsid w:val="00B719B5"/>
    <w:rsid w:val="00B71BA5"/>
    <w:rsid w:val="00B81F56"/>
    <w:rsid w:val="00BA17F7"/>
    <w:rsid w:val="00BA33D0"/>
    <w:rsid w:val="00BA5CBC"/>
    <w:rsid w:val="00BB503D"/>
    <w:rsid w:val="00BC0328"/>
    <w:rsid w:val="00BC1E21"/>
    <w:rsid w:val="00BD0033"/>
    <w:rsid w:val="00BD39D1"/>
    <w:rsid w:val="00BD4B48"/>
    <w:rsid w:val="00BE7242"/>
    <w:rsid w:val="00BF072C"/>
    <w:rsid w:val="00BF1E64"/>
    <w:rsid w:val="00BF25F0"/>
    <w:rsid w:val="00BF2700"/>
    <w:rsid w:val="00BF3A4A"/>
    <w:rsid w:val="00BF5440"/>
    <w:rsid w:val="00C029A1"/>
    <w:rsid w:val="00C044CE"/>
    <w:rsid w:val="00C22142"/>
    <w:rsid w:val="00C24BE3"/>
    <w:rsid w:val="00C255A2"/>
    <w:rsid w:val="00C266C2"/>
    <w:rsid w:val="00C277E8"/>
    <w:rsid w:val="00C3309B"/>
    <w:rsid w:val="00C33685"/>
    <w:rsid w:val="00C33A16"/>
    <w:rsid w:val="00C442D4"/>
    <w:rsid w:val="00C508BE"/>
    <w:rsid w:val="00C62234"/>
    <w:rsid w:val="00C80999"/>
    <w:rsid w:val="00C8200B"/>
    <w:rsid w:val="00C85120"/>
    <w:rsid w:val="00C93AB1"/>
    <w:rsid w:val="00CA491E"/>
    <w:rsid w:val="00CA4E25"/>
    <w:rsid w:val="00CA7CB5"/>
    <w:rsid w:val="00CB0A23"/>
    <w:rsid w:val="00CB4981"/>
    <w:rsid w:val="00CB6D79"/>
    <w:rsid w:val="00CB6E01"/>
    <w:rsid w:val="00CE2C4B"/>
    <w:rsid w:val="00CE5279"/>
    <w:rsid w:val="00CE770D"/>
    <w:rsid w:val="00CF70D6"/>
    <w:rsid w:val="00D054ED"/>
    <w:rsid w:val="00D102CF"/>
    <w:rsid w:val="00D1142B"/>
    <w:rsid w:val="00D202DE"/>
    <w:rsid w:val="00D24169"/>
    <w:rsid w:val="00D4447A"/>
    <w:rsid w:val="00D47385"/>
    <w:rsid w:val="00D473F1"/>
    <w:rsid w:val="00D63EC2"/>
    <w:rsid w:val="00D641D0"/>
    <w:rsid w:val="00D66A1F"/>
    <w:rsid w:val="00D74E11"/>
    <w:rsid w:val="00D76E64"/>
    <w:rsid w:val="00D80791"/>
    <w:rsid w:val="00D83A53"/>
    <w:rsid w:val="00D933D8"/>
    <w:rsid w:val="00D96CAC"/>
    <w:rsid w:val="00D978FF"/>
    <w:rsid w:val="00DA0AA8"/>
    <w:rsid w:val="00DA11DC"/>
    <w:rsid w:val="00DA13E1"/>
    <w:rsid w:val="00DA268D"/>
    <w:rsid w:val="00DA28AF"/>
    <w:rsid w:val="00DA3197"/>
    <w:rsid w:val="00DC05C6"/>
    <w:rsid w:val="00DC2B07"/>
    <w:rsid w:val="00DD298E"/>
    <w:rsid w:val="00DD5092"/>
    <w:rsid w:val="00DD523F"/>
    <w:rsid w:val="00DF3D35"/>
    <w:rsid w:val="00E07175"/>
    <w:rsid w:val="00E16ACA"/>
    <w:rsid w:val="00E173C2"/>
    <w:rsid w:val="00E3777C"/>
    <w:rsid w:val="00E404C2"/>
    <w:rsid w:val="00E437A9"/>
    <w:rsid w:val="00E45EB3"/>
    <w:rsid w:val="00E52B4A"/>
    <w:rsid w:val="00E55CDD"/>
    <w:rsid w:val="00E60DCE"/>
    <w:rsid w:val="00E660A1"/>
    <w:rsid w:val="00E6678A"/>
    <w:rsid w:val="00E70F4C"/>
    <w:rsid w:val="00E72738"/>
    <w:rsid w:val="00E80F8B"/>
    <w:rsid w:val="00E87E3F"/>
    <w:rsid w:val="00E943E4"/>
    <w:rsid w:val="00E94FC9"/>
    <w:rsid w:val="00EA6BAB"/>
    <w:rsid w:val="00EA7A3D"/>
    <w:rsid w:val="00EA7D9E"/>
    <w:rsid w:val="00EE014C"/>
    <w:rsid w:val="00EF2CA4"/>
    <w:rsid w:val="00F0131E"/>
    <w:rsid w:val="00F03476"/>
    <w:rsid w:val="00F06F40"/>
    <w:rsid w:val="00F11844"/>
    <w:rsid w:val="00F20336"/>
    <w:rsid w:val="00F3308E"/>
    <w:rsid w:val="00F404A9"/>
    <w:rsid w:val="00F43FCB"/>
    <w:rsid w:val="00F44D9C"/>
    <w:rsid w:val="00F5214C"/>
    <w:rsid w:val="00F71E13"/>
    <w:rsid w:val="00F72847"/>
    <w:rsid w:val="00F73615"/>
    <w:rsid w:val="00F745E1"/>
    <w:rsid w:val="00F846AF"/>
    <w:rsid w:val="00F906FE"/>
    <w:rsid w:val="00FA0004"/>
    <w:rsid w:val="00FA4107"/>
    <w:rsid w:val="00FA49D0"/>
    <w:rsid w:val="00FC5519"/>
    <w:rsid w:val="00FC6EFB"/>
    <w:rsid w:val="00FE3F13"/>
    <w:rsid w:val="00FE7217"/>
    <w:rsid w:val="00FF23D0"/>
    <w:rsid w:val="00FF4A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848FE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435F"/>
    <w:rPr>
      <w:color w:val="0000FF" w:themeColor="hyperlink"/>
      <w:u w:val="single"/>
    </w:rPr>
  </w:style>
  <w:style w:type="paragraph" w:styleId="Footer">
    <w:name w:val="footer"/>
    <w:basedOn w:val="Normal"/>
    <w:link w:val="FooterChar"/>
    <w:uiPriority w:val="99"/>
    <w:unhideWhenUsed/>
    <w:rsid w:val="00E80F8B"/>
    <w:pPr>
      <w:tabs>
        <w:tab w:val="center" w:pos="4320"/>
        <w:tab w:val="right" w:pos="8640"/>
      </w:tabs>
    </w:pPr>
  </w:style>
  <w:style w:type="character" w:customStyle="1" w:styleId="FooterChar">
    <w:name w:val="Footer Char"/>
    <w:basedOn w:val="DefaultParagraphFont"/>
    <w:link w:val="Footer"/>
    <w:uiPriority w:val="99"/>
    <w:rsid w:val="00E80F8B"/>
  </w:style>
  <w:style w:type="character" w:styleId="PageNumber">
    <w:name w:val="page number"/>
    <w:basedOn w:val="DefaultParagraphFont"/>
    <w:uiPriority w:val="99"/>
    <w:semiHidden/>
    <w:unhideWhenUsed/>
    <w:rsid w:val="00E80F8B"/>
  </w:style>
  <w:style w:type="paragraph" w:styleId="ListParagraph">
    <w:name w:val="List Paragraph"/>
    <w:basedOn w:val="Normal"/>
    <w:uiPriority w:val="34"/>
    <w:qFormat/>
    <w:rsid w:val="002A37E8"/>
    <w:pPr>
      <w:ind w:left="720"/>
      <w:contextualSpacing/>
    </w:pPr>
  </w:style>
  <w:style w:type="character" w:styleId="FollowedHyperlink">
    <w:name w:val="FollowedHyperlink"/>
    <w:basedOn w:val="DefaultParagraphFont"/>
    <w:uiPriority w:val="99"/>
    <w:semiHidden/>
    <w:unhideWhenUsed/>
    <w:rsid w:val="004E0024"/>
    <w:rPr>
      <w:color w:val="800080" w:themeColor="followedHyperlink"/>
      <w:u w:val="single"/>
    </w:rPr>
  </w:style>
  <w:style w:type="paragraph" w:styleId="BalloonText">
    <w:name w:val="Balloon Text"/>
    <w:basedOn w:val="Normal"/>
    <w:link w:val="BalloonTextChar"/>
    <w:uiPriority w:val="99"/>
    <w:semiHidden/>
    <w:unhideWhenUsed/>
    <w:rsid w:val="00237F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FA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9074">
      <w:bodyDiv w:val="1"/>
      <w:marLeft w:val="0"/>
      <w:marRight w:val="0"/>
      <w:marTop w:val="0"/>
      <w:marBottom w:val="0"/>
      <w:divBdr>
        <w:top w:val="none" w:sz="0" w:space="0" w:color="auto"/>
        <w:left w:val="none" w:sz="0" w:space="0" w:color="auto"/>
        <w:bottom w:val="none" w:sz="0" w:space="0" w:color="auto"/>
        <w:right w:val="none" w:sz="0" w:space="0" w:color="auto"/>
      </w:divBdr>
    </w:div>
    <w:div w:id="493111761">
      <w:bodyDiv w:val="1"/>
      <w:marLeft w:val="0"/>
      <w:marRight w:val="0"/>
      <w:marTop w:val="0"/>
      <w:marBottom w:val="0"/>
      <w:divBdr>
        <w:top w:val="none" w:sz="0" w:space="0" w:color="auto"/>
        <w:left w:val="none" w:sz="0" w:space="0" w:color="auto"/>
        <w:bottom w:val="none" w:sz="0" w:space="0" w:color="auto"/>
        <w:right w:val="none" w:sz="0" w:space="0" w:color="auto"/>
      </w:divBdr>
    </w:div>
    <w:div w:id="766929682">
      <w:bodyDiv w:val="1"/>
      <w:marLeft w:val="0"/>
      <w:marRight w:val="0"/>
      <w:marTop w:val="0"/>
      <w:marBottom w:val="0"/>
      <w:divBdr>
        <w:top w:val="none" w:sz="0" w:space="0" w:color="auto"/>
        <w:left w:val="none" w:sz="0" w:space="0" w:color="auto"/>
        <w:bottom w:val="none" w:sz="0" w:space="0" w:color="auto"/>
        <w:right w:val="none" w:sz="0" w:space="0" w:color="auto"/>
      </w:divBdr>
      <w:divsChild>
        <w:div w:id="1707175805">
          <w:marLeft w:val="0"/>
          <w:marRight w:val="0"/>
          <w:marTop w:val="0"/>
          <w:marBottom w:val="0"/>
          <w:divBdr>
            <w:top w:val="none" w:sz="0" w:space="0" w:color="auto"/>
            <w:left w:val="none" w:sz="0" w:space="0" w:color="auto"/>
            <w:bottom w:val="none" w:sz="0" w:space="0" w:color="auto"/>
            <w:right w:val="none" w:sz="0" w:space="0" w:color="auto"/>
          </w:divBdr>
          <w:divsChild>
            <w:div w:id="934554249">
              <w:marLeft w:val="0"/>
              <w:marRight w:val="0"/>
              <w:marTop w:val="0"/>
              <w:marBottom w:val="0"/>
              <w:divBdr>
                <w:top w:val="none" w:sz="0" w:space="0" w:color="auto"/>
                <w:left w:val="none" w:sz="0" w:space="0" w:color="auto"/>
                <w:bottom w:val="none" w:sz="0" w:space="0" w:color="auto"/>
                <w:right w:val="none" w:sz="0" w:space="0" w:color="auto"/>
              </w:divBdr>
              <w:divsChild>
                <w:div w:id="10725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85175">
      <w:bodyDiv w:val="1"/>
      <w:marLeft w:val="0"/>
      <w:marRight w:val="0"/>
      <w:marTop w:val="0"/>
      <w:marBottom w:val="0"/>
      <w:divBdr>
        <w:top w:val="none" w:sz="0" w:space="0" w:color="auto"/>
        <w:left w:val="none" w:sz="0" w:space="0" w:color="auto"/>
        <w:bottom w:val="none" w:sz="0" w:space="0" w:color="auto"/>
        <w:right w:val="none" w:sz="0" w:space="0" w:color="auto"/>
      </w:divBdr>
    </w:div>
    <w:div w:id="888341112">
      <w:bodyDiv w:val="1"/>
      <w:marLeft w:val="0"/>
      <w:marRight w:val="0"/>
      <w:marTop w:val="0"/>
      <w:marBottom w:val="0"/>
      <w:divBdr>
        <w:top w:val="none" w:sz="0" w:space="0" w:color="auto"/>
        <w:left w:val="none" w:sz="0" w:space="0" w:color="auto"/>
        <w:bottom w:val="none" w:sz="0" w:space="0" w:color="auto"/>
        <w:right w:val="none" w:sz="0" w:space="0" w:color="auto"/>
      </w:divBdr>
    </w:div>
    <w:div w:id="917402551">
      <w:bodyDiv w:val="1"/>
      <w:marLeft w:val="0"/>
      <w:marRight w:val="0"/>
      <w:marTop w:val="0"/>
      <w:marBottom w:val="0"/>
      <w:divBdr>
        <w:top w:val="none" w:sz="0" w:space="0" w:color="auto"/>
        <w:left w:val="none" w:sz="0" w:space="0" w:color="auto"/>
        <w:bottom w:val="none" w:sz="0" w:space="0" w:color="auto"/>
        <w:right w:val="none" w:sz="0" w:space="0" w:color="auto"/>
      </w:divBdr>
    </w:div>
    <w:div w:id="1870102124">
      <w:bodyDiv w:val="1"/>
      <w:marLeft w:val="0"/>
      <w:marRight w:val="0"/>
      <w:marTop w:val="0"/>
      <w:marBottom w:val="0"/>
      <w:divBdr>
        <w:top w:val="none" w:sz="0" w:space="0" w:color="auto"/>
        <w:left w:val="none" w:sz="0" w:space="0" w:color="auto"/>
        <w:bottom w:val="none" w:sz="0" w:space="0" w:color="auto"/>
        <w:right w:val="none" w:sz="0" w:space="0" w:color="auto"/>
      </w:divBdr>
    </w:div>
    <w:div w:id="1987660926">
      <w:bodyDiv w:val="1"/>
      <w:marLeft w:val="0"/>
      <w:marRight w:val="0"/>
      <w:marTop w:val="0"/>
      <w:marBottom w:val="0"/>
      <w:divBdr>
        <w:top w:val="none" w:sz="0" w:space="0" w:color="auto"/>
        <w:left w:val="none" w:sz="0" w:space="0" w:color="auto"/>
        <w:bottom w:val="none" w:sz="0" w:space="0" w:color="auto"/>
        <w:right w:val="none" w:sz="0" w:space="0" w:color="auto"/>
      </w:divBdr>
    </w:div>
    <w:div w:id="2122649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nbt.4042"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hyperlink" Target="https://cran.r-project.org/web/packages/tmod/vignettes/tmod.pdf" TargetMode="External"/><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athan.lawlor03@gmail.com" TargetMode="External"/><Relationship Id="rId9" Type="http://schemas.openxmlformats.org/officeDocument/2006/relationships/hyperlink" Target="https://www.biorxiv.org/content/early/2017/06/18/151217"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10" Type="http://schemas.openxmlformats.org/officeDocument/2006/relationships/hyperlink" Target="https://www.bioconductor.org/packages/devel/bioc/html/iasva.html"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27</Pages>
  <Words>2578</Words>
  <Characters>14697</Characters>
  <Application>Microsoft Macintosh Word</Application>
  <DocSecurity>0</DocSecurity>
  <Lines>122</Lines>
  <Paragraphs>34</Paragraphs>
  <ScaleCrop>false</ScaleCrop>
  <Company>TJL</Company>
  <LinksUpToDate>false</LinksUpToDate>
  <CharactersWithSpaces>17241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Lawlor</dc:creator>
  <cp:keywords/>
  <dc:description/>
  <cp:lastModifiedBy>Nathan Lawlor</cp:lastModifiedBy>
  <cp:revision>414</cp:revision>
  <dcterms:created xsi:type="dcterms:W3CDTF">2018-03-20T15:31:00Z</dcterms:created>
  <dcterms:modified xsi:type="dcterms:W3CDTF">2018-09-04T21:24:00Z</dcterms:modified>
</cp:coreProperties>
</file>