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11CB7" w14:textId="4D52A2F1" w:rsidR="00E93C35" w:rsidRPr="00CB4AC9" w:rsidRDefault="009B6FB7" w:rsidP="00E93C35">
      <w:pPr>
        <w:pStyle w:val="Heading1"/>
        <w:rPr>
          <w:color w:val="984806" w:themeColor="accent6" w:themeShade="80"/>
          <w:sz w:val="40"/>
        </w:rPr>
      </w:pPr>
      <w:r w:rsidRPr="00CB4AC9">
        <w:rPr>
          <w:color w:val="984806" w:themeColor="accent6" w:themeShade="80"/>
          <w:sz w:val="40"/>
        </w:rPr>
        <w:t>Predictive Maintenance Report</w:t>
      </w:r>
    </w:p>
    <w:p w14:paraId="127BD253" w14:textId="6860B0B4" w:rsidR="00E93C35" w:rsidRDefault="00E93C35" w:rsidP="00E93C35">
      <w:pPr>
        <w:spacing w:after="0"/>
      </w:pPr>
      <w:r>
        <w:t>Prepared by: Coley Costello</w:t>
      </w:r>
    </w:p>
    <w:p w14:paraId="0C2BCCE5" w14:textId="23E96EF6" w:rsidR="00E93C35" w:rsidRDefault="00E93C35" w:rsidP="00E93C35">
      <w:pPr>
        <w:spacing w:after="0"/>
      </w:pPr>
      <w:r>
        <w:t>Date: December 2025</w:t>
      </w:r>
    </w:p>
    <w:p w14:paraId="03DC702C" w14:textId="2C7F1F88" w:rsidR="00E93C35" w:rsidRPr="00E93C35" w:rsidRDefault="00E93C35" w:rsidP="00E93C35">
      <w:pPr>
        <w:spacing w:after="0"/>
      </w:pPr>
      <w:r>
        <w:t>For: X team at YZ Corporation</w:t>
      </w:r>
    </w:p>
    <w:p w14:paraId="3D48DAD8" w14:textId="77777777" w:rsidR="00A766B7" w:rsidRDefault="009B6FB7">
      <w:pPr>
        <w:pStyle w:val="Heading2"/>
      </w:pPr>
      <w:r>
        <w:t>1. Executive Summary</w:t>
      </w:r>
    </w:p>
    <w:p w14:paraId="2F006AD5" w14:textId="77777777" w:rsidR="00A766B7" w:rsidRDefault="009B6FB7">
      <w:r>
        <w:t>This report evaluates the operational health and anticipated failure timeline of Motor A and Motor B using sensor trend analysis, anomaly scoring, and insights from the attached Failure Modes and Effects Analysis (FMEA) chart. Motor A shows a clear pattern of accelerated degradation with a projected failure in the near term, while Motor B remains stable. Pre-work and post-work actions are incorporated to ensure safe and effective maintenance execution.</w:t>
      </w:r>
    </w:p>
    <w:p w14:paraId="3E0F4977" w14:textId="77777777" w:rsidR="00A766B7" w:rsidRDefault="009B6FB7">
      <w:pPr>
        <w:pStyle w:val="Heading2"/>
      </w:pPr>
      <w:r>
        <w:t>2. Assets Assessed</w:t>
      </w:r>
    </w:p>
    <w:p w14:paraId="6B823D22" w14:textId="77777777" w:rsidR="00A766B7" w:rsidRDefault="009B6FB7">
      <w:r>
        <w:t>This analysis covers two production motors equipped with vibration monitoring, temperature sensors, current draw measurement, and anomaly scoring. These indicators collectively allow early detection of mechanical wear, inefficiency, and operational risk.</w:t>
      </w:r>
    </w:p>
    <w:p w14:paraId="7E70388F" w14:textId="77777777" w:rsidR="00A766B7" w:rsidRDefault="009B6FB7">
      <w:pPr>
        <w:pStyle w:val="Heading2"/>
      </w:pPr>
      <w:r>
        <w:t>3. Data Summary</w:t>
      </w:r>
    </w:p>
    <w:p w14:paraId="3236C5DA" w14:textId="77777777" w:rsidR="00A766B7" w:rsidRDefault="009B6FB7">
      <w:r>
        <w:t>Sensor data includes vibration (mm/s), temperature (°C), current draw (A), and anomaly scores collected over a multi-day operational period. The dataset is complete and reliable, supporting accurate trend interpretation and predictive modeling.</w:t>
      </w:r>
    </w:p>
    <w:p w14:paraId="7A51186E" w14:textId="77777777" w:rsidR="00A766B7" w:rsidRDefault="009B6FB7">
      <w:pPr>
        <w:pStyle w:val="Heading2"/>
      </w:pPr>
      <w:r>
        <w:t>4. KPI Trend Analysis</w:t>
      </w:r>
    </w:p>
    <w:p w14:paraId="142324CE" w14:textId="77777777" w:rsidR="00A766B7" w:rsidRDefault="009B6FB7">
      <w:r>
        <w:t>• Vibration: Motor A shows steadily increasing vibration levels, indicating potential bearing wear or mechanical misalignment. Motor B remains within normal limits.</w:t>
      </w:r>
    </w:p>
    <w:p w14:paraId="2347BB98" w14:textId="77777777" w:rsidR="00A766B7" w:rsidRDefault="009B6FB7">
      <w:r>
        <w:t>• Temperature: Motor A exhibits a rising temperature trend consistent with increased friction or cooling inefficiency. Motor B remains stable.</w:t>
      </w:r>
    </w:p>
    <w:p w14:paraId="11F47802" w14:textId="77777777" w:rsidR="00A766B7" w:rsidRDefault="009B6FB7">
      <w:r>
        <w:t>• Current Draw: Motor A displays increased electrical load, often associated with mechanical resistance or component degradation.</w:t>
      </w:r>
    </w:p>
    <w:p w14:paraId="6AACAAA2" w14:textId="77777777" w:rsidR="00A766B7" w:rsidRDefault="009B6FB7">
      <w:r>
        <w:t>• Anomaly Score: A machine-learning–based early warning signal reveals an accelerating anomaly pattern for Motor A, preceding physical failure indicators.</w:t>
      </w:r>
    </w:p>
    <w:p w14:paraId="71E583E4" w14:textId="77777777" w:rsidR="00E93C35" w:rsidRDefault="00E93C35" w:rsidP="00E93C35">
      <w:pPr>
        <w:keepNext/>
      </w:pPr>
      <w:r>
        <w:rPr>
          <w:noProof/>
        </w:rPr>
        <w:lastRenderedPageBreak/>
        <w:drawing>
          <wp:inline distT="0" distB="0" distL="0" distR="0" wp14:anchorId="30F843C4" wp14:editId="2E84FC53">
            <wp:extent cx="6381750" cy="4254500"/>
            <wp:effectExtent l="0" t="0" r="0" b="0"/>
            <wp:docPr id="251211283"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11283" name="Picture 1" descr="A graph of different colored lines&#10;&#10;AI-generated content may be incorrect."/>
                    <pic:cNvPicPr/>
                  </pic:nvPicPr>
                  <pic:blipFill>
                    <a:blip r:embed="rId8"/>
                    <a:stretch>
                      <a:fillRect/>
                    </a:stretch>
                  </pic:blipFill>
                  <pic:spPr>
                    <a:xfrm>
                      <a:off x="0" y="0"/>
                      <a:ext cx="6381750" cy="4254500"/>
                    </a:xfrm>
                    <a:prstGeom prst="rect">
                      <a:avLst/>
                    </a:prstGeom>
                  </pic:spPr>
                </pic:pic>
              </a:graphicData>
            </a:graphic>
          </wp:inline>
        </w:drawing>
      </w:r>
    </w:p>
    <w:p w14:paraId="21909CCE" w14:textId="23EA87E7" w:rsidR="00E93C35" w:rsidRPr="00CB4AC9" w:rsidRDefault="00E93C35" w:rsidP="00E93C35">
      <w:pPr>
        <w:pStyle w:val="Caption"/>
        <w:rPr>
          <w:color w:val="76923C" w:themeColor="accent3" w:themeShade="BF"/>
        </w:rPr>
      </w:pPr>
      <w:r w:rsidRPr="00CB4AC9">
        <w:rPr>
          <w:color w:val="76923C" w:themeColor="accent3" w:themeShade="BF"/>
        </w:rPr>
        <w:t xml:space="preserve">Figure </w:t>
      </w:r>
      <w:r w:rsidRPr="00CB4AC9">
        <w:rPr>
          <w:color w:val="76923C" w:themeColor="accent3" w:themeShade="BF"/>
        </w:rPr>
        <w:fldChar w:fldCharType="begin"/>
      </w:r>
      <w:r w:rsidRPr="00CB4AC9">
        <w:rPr>
          <w:color w:val="76923C" w:themeColor="accent3" w:themeShade="BF"/>
        </w:rPr>
        <w:instrText xml:space="preserve"> SEQ Figure \* ARABIC </w:instrText>
      </w:r>
      <w:r w:rsidRPr="00CB4AC9">
        <w:rPr>
          <w:color w:val="76923C" w:themeColor="accent3" w:themeShade="BF"/>
        </w:rPr>
        <w:fldChar w:fldCharType="separate"/>
      </w:r>
      <w:r w:rsidRPr="00CB4AC9">
        <w:rPr>
          <w:noProof/>
          <w:color w:val="76923C" w:themeColor="accent3" w:themeShade="BF"/>
        </w:rPr>
        <w:t>1</w:t>
      </w:r>
      <w:r w:rsidRPr="00CB4AC9">
        <w:rPr>
          <w:color w:val="76923C" w:themeColor="accent3" w:themeShade="BF"/>
        </w:rPr>
        <w:fldChar w:fldCharType="end"/>
      </w:r>
      <w:r w:rsidRPr="00CB4AC9">
        <w:rPr>
          <w:color w:val="76923C" w:themeColor="accent3" w:themeShade="BF"/>
        </w:rPr>
        <w:t xml:space="preserve"> Vibration, Temperature, Current Draw, and Anomaly Score Dashboard (Motor A vs Motor B)</w:t>
      </w:r>
    </w:p>
    <w:p w14:paraId="7D1AF4BF" w14:textId="77777777" w:rsidR="00A766B7" w:rsidRDefault="009B6FB7">
      <w:pPr>
        <w:pStyle w:val="Heading2"/>
      </w:pPr>
      <w:r>
        <w:t>5. Predictive Modeling Results</w:t>
      </w:r>
    </w:p>
    <w:p w14:paraId="0E2C32CF" w14:textId="77777777" w:rsidR="00A766B7" w:rsidRDefault="009B6FB7">
      <w:r>
        <w:t>Using NumPy-based regression analysis, Motor A’s anomaly score is projected to exceed the critical failure threshold (1.0), indicating a high likelihood of failure soon if no intervention occurs. Motor B shows no significant risk within the model’s predictive window.</w:t>
      </w:r>
    </w:p>
    <w:p w14:paraId="751E202A" w14:textId="77777777" w:rsidR="00E93C35" w:rsidRDefault="00E93C35" w:rsidP="00E93C35">
      <w:pPr>
        <w:keepNext/>
      </w:pPr>
      <w:r>
        <w:rPr>
          <w:noProof/>
        </w:rPr>
        <w:lastRenderedPageBreak/>
        <w:drawing>
          <wp:inline distT="0" distB="0" distL="0" distR="0" wp14:anchorId="35148EF2" wp14:editId="738C191F">
            <wp:extent cx="5943600" cy="3370580"/>
            <wp:effectExtent l="0" t="0" r="0" b="1270"/>
            <wp:docPr id="1142800527" name="Picture 2"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00527" name="Picture 2" descr="A graph with lines and numbers&#10;&#10;AI-generated content may be incorrect."/>
                    <pic:cNvPicPr/>
                  </pic:nvPicPr>
                  <pic:blipFill>
                    <a:blip r:embed="rId9"/>
                    <a:stretch>
                      <a:fillRect/>
                    </a:stretch>
                  </pic:blipFill>
                  <pic:spPr>
                    <a:xfrm>
                      <a:off x="0" y="0"/>
                      <a:ext cx="5943600" cy="3370580"/>
                    </a:xfrm>
                    <a:prstGeom prst="rect">
                      <a:avLst/>
                    </a:prstGeom>
                  </pic:spPr>
                </pic:pic>
              </a:graphicData>
            </a:graphic>
          </wp:inline>
        </w:drawing>
      </w:r>
    </w:p>
    <w:p w14:paraId="6526D7E8" w14:textId="4C3B21B8" w:rsidR="00E93C35" w:rsidRPr="00CB4AC9" w:rsidRDefault="00E93C35" w:rsidP="00E93C35">
      <w:pPr>
        <w:pStyle w:val="Caption"/>
        <w:rPr>
          <w:color w:val="76923C" w:themeColor="accent3" w:themeShade="BF"/>
        </w:rPr>
      </w:pPr>
      <w:r w:rsidRPr="00CB4AC9">
        <w:rPr>
          <w:color w:val="76923C" w:themeColor="accent3" w:themeShade="BF"/>
        </w:rPr>
        <w:t xml:space="preserve">Figure </w:t>
      </w:r>
      <w:r w:rsidRPr="00CB4AC9">
        <w:rPr>
          <w:color w:val="76923C" w:themeColor="accent3" w:themeShade="BF"/>
        </w:rPr>
        <w:fldChar w:fldCharType="begin"/>
      </w:r>
      <w:r w:rsidRPr="00CB4AC9">
        <w:rPr>
          <w:color w:val="76923C" w:themeColor="accent3" w:themeShade="BF"/>
        </w:rPr>
        <w:instrText xml:space="preserve"> SEQ Figure \* ARABIC </w:instrText>
      </w:r>
      <w:r w:rsidRPr="00CB4AC9">
        <w:rPr>
          <w:color w:val="76923C" w:themeColor="accent3" w:themeShade="BF"/>
        </w:rPr>
        <w:fldChar w:fldCharType="separate"/>
      </w:r>
      <w:r w:rsidRPr="00CB4AC9">
        <w:rPr>
          <w:noProof/>
          <w:color w:val="76923C" w:themeColor="accent3" w:themeShade="BF"/>
        </w:rPr>
        <w:t>2</w:t>
      </w:r>
      <w:r w:rsidRPr="00CB4AC9">
        <w:rPr>
          <w:color w:val="76923C" w:themeColor="accent3" w:themeShade="BF"/>
        </w:rPr>
        <w:fldChar w:fldCharType="end"/>
      </w:r>
      <w:r w:rsidRPr="00CB4AC9">
        <w:rPr>
          <w:color w:val="76923C" w:themeColor="accent3" w:themeShade="BF"/>
        </w:rPr>
        <w:t xml:space="preserve"> Anomaly Score Curve with 95% Confidence Interval (Motor A)</w:t>
      </w:r>
    </w:p>
    <w:p w14:paraId="50A5E692" w14:textId="77777777" w:rsidR="00A766B7" w:rsidRDefault="009B6FB7">
      <w:pPr>
        <w:pStyle w:val="Heading2"/>
      </w:pPr>
      <w:r>
        <w:t>6. FMEA Risk Alignment</w:t>
      </w:r>
    </w:p>
    <w:p w14:paraId="078B51CC" w14:textId="77777777" w:rsidR="00A766B7" w:rsidRDefault="009B6FB7">
      <w:r>
        <w:t xml:space="preserve">Based on the attached FMEA chart, key failure modes consistent with Motor A’s degradation include bearing failure, shaft misalignment, overheating due to lubrication issues, and electrical overload. These modes typically carry high Severity (S) and moderate-to-high Occurrence (O) ratings, contributing to elevated Risk Priority Numbers (RPNs). Motor A’s behavior aligns with the highest-risk categories identified in the FMEA. Actual FMEA scores can be inserted here once </w:t>
      </w:r>
      <w:proofErr w:type="gramStart"/>
      <w:r>
        <w:t>available</w:t>
      </w:r>
      <w:proofErr w:type="gramEnd"/>
      <w:r>
        <w:t>.</w:t>
      </w:r>
    </w:p>
    <w:p w14:paraId="5446FBF0" w14:textId="77777777" w:rsidR="00E93C35" w:rsidRDefault="00E93C35" w:rsidP="00E93C35">
      <w:pPr>
        <w:keepNext/>
      </w:pPr>
      <w:r>
        <w:rPr>
          <w:noProof/>
        </w:rPr>
        <w:lastRenderedPageBreak/>
        <w:drawing>
          <wp:inline distT="0" distB="0" distL="0" distR="0" wp14:anchorId="69937D84" wp14:editId="4574D161">
            <wp:extent cx="5943600" cy="3418205"/>
            <wp:effectExtent l="0" t="0" r="0" b="0"/>
            <wp:docPr id="1885207062" name="Picture 3"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07062" name="Picture 3" descr="A graph with lines and numbers&#10;&#10;AI-generated content may be incorrect."/>
                    <pic:cNvPicPr/>
                  </pic:nvPicPr>
                  <pic:blipFill>
                    <a:blip r:embed="rId10"/>
                    <a:stretch>
                      <a:fillRect/>
                    </a:stretch>
                  </pic:blipFill>
                  <pic:spPr>
                    <a:xfrm>
                      <a:off x="0" y="0"/>
                      <a:ext cx="5943600" cy="3418205"/>
                    </a:xfrm>
                    <a:prstGeom prst="rect">
                      <a:avLst/>
                    </a:prstGeom>
                  </pic:spPr>
                </pic:pic>
              </a:graphicData>
            </a:graphic>
          </wp:inline>
        </w:drawing>
      </w:r>
    </w:p>
    <w:p w14:paraId="7A79D41B" w14:textId="30A65039" w:rsidR="00E93C35" w:rsidRPr="00CB4AC9" w:rsidRDefault="00E93C35" w:rsidP="00E93C35">
      <w:pPr>
        <w:pStyle w:val="Caption"/>
        <w:rPr>
          <w:color w:val="76923C" w:themeColor="accent3" w:themeShade="BF"/>
        </w:rPr>
      </w:pPr>
      <w:r w:rsidRPr="00CB4AC9">
        <w:rPr>
          <w:color w:val="76923C" w:themeColor="accent3" w:themeShade="BF"/>
        </w:rPr>
        <w:t xml:space="preserve">Figure </w:t>
      </w:r>
      <w:r w:rsidRPr="00CB4AC9">
        <w:rPr>
          <w:color w:val="76923C" w:themeColor="accent3" w:themeShade="BF"/>
        </w:rPr>
        <w:fldChar w:fldCharType="begin"/>
      </w:r>
      <w:r w:rsidRPr="00CB4AC9">
        <w:rPr>
          <w:color w:val="76923C" w:themeColor="accent3" w:themeShade="BF"/>
        </w:rPr>
        <w:instrText xml:space="preserve"> SEQ Figure \* ARABIC </w:instrText>
      </w:r>
      <w:r w:rsidRPr="00CB4AC9">
        <w:rPr>
          <w:color w:val="76923C" w:themeColor="accent3" w:themeShade="BF"/>
        </w:rPr>
        <w:fldChar w:fldCharType="separate"/>
      </w:r>
      <w:r w:rsidRPr="00CB4AC9">
        <w:rPr>
          <w:noProof/>
          <w:color w:val="76923C" w:themeColor="accent3" w:themeShade="BF"/>
        </w:rPr>
        <w:t>3</w:t>
      </w:r>
      <w:r w:rsidRPr="00CB4AC9">
        <w:rPr>
          <w:color w:val="76923C" w:themeColor="accent3" w:themeShade="BF"/>
        </w:rPr>
        <w:fldChar w:fldCharType="end"/>
      </w:r>
      <w:r w:rsidRPr="00CB4AC9">
        <w:rPr>
          <w:color w:val="76923C" w:themeColor="accent3" w:themeShade="BF"/>
        </w:rPr>
        <w:t xml:space="preserve"> Predicted vs Actual Failure Comparison</w:t>
      </w:r>
    </w:p>
    <w:p w14:paraId="06CDC206" w14:textId="77777777" w:rsidR="00A766B7" w:rsidRDefault="009B6FB7">
      <w:pPr>
        <w:pStyle w:val="Heading2"/>
      </w:pPr>
      <w:r>
        <w:t>7. Pre-Work and Post-Work Actions</w:t>
      </w:r>
    </w:p>
    <w:p w14:paraId="1E991B86" w14:textId="77777777" w:rsidR="00A766B7" w:rsidRDefault="009B6FB7">
      <w:r>
        <w:t>Pre-Work Actions:</w:t>
      </w:r>
    </w:p>
    <w:p w14:paraId="72C1B81F" w14:textId="77777777" w:rsidR="00A766B7" w:rsidRDefault="009B6FB7">
      <w:r>
        <w:t>• Perform Lockout/Tagout (LOTO)</w:t>
      </w:r>
    </w:p>
    <w:p w14:paraId="0CC1724E" w14:textId="77777777" w:rsidR="00A766B7" w:rsidRDefault="009B6FB7">
      <w:r>
        <w:t>• Notify operations personnel of scheduled maintenance</w:t>
      </w:r>
    </w:p>
    <w:p w14:paraId="744AC352" w14:textId="77777777" w:rsidR="00A766B7" w:rsidRDefault="009B6FB7">
      <w:r>
        <w:t>• Review relevant FMEA findings to understand risk levels</w:t>
      </w:r>
    </w:p>
    <w:p w14:paraId="73340856" w14:textId="77777777" w:rsidR="00A766B7" w:rsidRDefault="009B6FB7">
      <w:r>
        <w:t>• Verify electrical isolation and motor cooldown</w:t>
      </w:r>
    </w:p>
    <w:p w14:paraId="2E30CCA5" w14:textId="77777777" w:rsidR="00A766B7" w:rsidRDefault="009B6FB7">
      <w:r>
        <w:t>• Inspect surrounding equipment and workspace safety</w:t>
      </w:r>
    </w:p>
    <w:p w14:paraId="2127A418" w14:textId="77777777" w:rsidR="00A766B7" w:rsidRDefault="009B6FB7">
      <w:r>
        <w:t>• Gather required PPE and tools</w:t>
      </w:r>
    </w:p>
    <w:p w14:paraId="08CEF182" w14:textId="77777777" w:rsidR="00A766B7" w:rsidRDefault="00A766B7"/>
    <w:p w14:paraId="0613B1F7" w14:textId="77777777" w:rsidR="00A766B7" w:rsidRDefault="009B6FB7">
      <w:r>
        <w:t>Post-Work Actions:</w:t>
      </w:r>
    </w:p>
    <w:p w14:paraId="3C9F0AE0" w14:textId="77777777" w:rsidR="00A766B7" w:rsidRDefault="009B6FB7">
      <w:r>
        <w:t>• Restore power safely and conduct a controlled restart</w:t>
      </w:r>
    </w:p>
    <w:p w14:paraId="3C710B6B" w14:textId="77777777" w:rsidR="00A766B7" w:rsidRDefault="009B6FB7">
      <w:r>
        <w:t>• Reassess vibration, temperature, and current readings</w:t>
      </w:r>
    </w:p>
    <w:p w14:paraId="57CFCBC1" w14:textId="77777777" w:rsidR="00A766B7" w:rsidRDefault="009B6FB7">
      <w:r>
        <w:t>• Update anomaly model baselines to reflect repaired state</w:t>
      </w:r>
    </w:p>
    <w:p w14:paraId="59C89AAE" w14:textId="77777777" w:rsidR="00A766B7" w:rsidRDefault="009B6FB7">
      <w:r>
        <w:t>• Document all work completed per SOP</w:t>
      </w:r>
    </w:p>
    <w:p w14:paraId="7FE2F0CE" w14:textId="77777777" w:rsidR="00A766B7" w:rsidRDefault="009B6FB7">
      <w:r>
        <w:lastRenderedPageBreak/>
        <w:t>• Update the FMEA if new failure insights were discovered</w:t>
      </w:r>
    </w:p>
    <w:p w14:paraId="10DE5902" w14:textId="7FF2F913" w:rsidR="009B6FB7" w:rsidRDefault="009B6FB7">
      <w:r>
        <w:t>• Communicate changes and findings to maintenance and reliability teams</w:t>
      </w:r>
      <w:r w:rsidR="007B0B91">
        <w:t xml:space="preserve"> </w:t>
      </w:r>
    </w:p>
    <w:p w14:paraId="00854F3F" w14:textId="77777777" w:rsidR="00A766B7" w:rsidRDefault="009B6FB7">
      <w:pPr>
        <w:pStyle w:val="Heading2"/>
      </w:pPr>
      <w:r>
        <w:t>8. Maintenance Recommendations</w:t>
      </w:r>
    </w:p>
    <w:p w14:paraId="153DDEC9" w14:textId="77777777" w:rsidR="00A766B7" w:rsidRDefault="009B6FB7">
      <w:r>
        <w:t>Immediate (Next 3–7 Days):</w:t>
      </w:r>
    </w:p>
    <w:p w14:paraId="01986FA9" w14:textId="77777777" w:rsidR="00A766B7" w:rsidRDefault="009B6FB7">
      <w:r>
        <w:t>• Inspect Motor A bearings and shaft alignment</w:t>
      </w:r>
    </w:p>
    <w:p w14:paraId="50004C92" w14:textId="77777777" w:rsidR="00A766B7" w:rsidRDefault="009B6FB7">
      <w:r>
        <w:t>• Check lubrication quality and replenish as necessary</w:t>
      </w:r>
    </w:p>
    <w:p w14:paraId="368658A4" w14:textId="77777777" w:rsidR="00A766B7" w:rsidRDefault="009B6FB7">
      <w:r>
        <w:t>• Remove debris or airflow restrictions causing thermal rise</w:t>
      </w:r>
    </w:p>
    <w:p w14:paraId="5B035FDF" w14:textId="77777777" w:rsidR="00A766B7" w:rsidRDefault="00A766B7"/>
    <w:p w14:paraId="2B81D51D" w14:textId="77777777" w:rsidR="00A766B7" w:rsidRDefault="009B6FB7">
      <w:r>
        <w:t>Mid-Term (1–2 Weeks):</w:t>
      </w:r>
    </w:p>
    <w:p w14:paraId="2ED990FA" w14:textId="77777777" w:rsidR="00A766B7" w:rsidRDefault="009B6FB7">
      <w:r>
        <w:t>• Increase monitoring frequency for Motor A</w:t>
      </w:r>
    </w:p>
    <w:p w14:paraId="6B9B9FAF" w14:textId="77777777" w:rsidR="00A766B7" w:rsidRDefault="009B6FB7">
      <w:r>
        <w:t>• Re-baseline anomaly score after any maintenance actions</w:t>
      </w:r>
    </w:p>
    <w:p w14:paraId="4C49E6BF" w14:textId="77777777" w:rsidR="00A766B7" w:rsidRDefault="009B6FB7">
      <w:r>
        <w:t>• Evaluate the cost-effectiveness of partial component replacements</w:t>
      </w:r>
    </w:p>
    <w:p w14:paraId="4A261610" w14:textId="77777777" w:rsidR="00A766B7" w:rsidRDefault="00A766B7"/>
    <w:p w14:paraId="32293423" w14:textId="77777777" w:rsidR="00A766B7" w:rsidRDefault="009B6FB7">
      <w:r>
        <w:t>Long-Term:</w:t>
      </w:r>
    </w:p>
    <w:p w14:paraId="71C1F1C3" w14:textId="77777777" w:rsidR="00A766B7" w:rsidRDefault="009B6FB7">
      <w:r>
        <w:t>• Implement automated vibration and temperature alert thresholds</w:t>
      </w:r>
    </w:p>
    <w:p w14:paraId="3864B7E2" w14:textId="77777777" w:rsidR="00A766B7" w:rsidRDefault="009B6FB7">
      <w:r>
        <w:t>• Reassess the FMEA annually or after major maintenance events</w:t>
      </w:r>
    </w:p>
    <w:p w14:paraId="0AEF1E44" w14:textId="77777777" w:rsidR="00A766B7" w:rsidRDefault="009B6FB7">
      <w:r>
        <w:t>• Integrate anomaly scoring into your preventive maintenance strategy</w:t>
      </w:r>
    </w:p>
    <w:p w14:paraId="1268BCEB" w14:textId="77777777" w:rsidR="00A766B7" w:rsidRDefault="009B6FB7">
      <w:pPr>
        <w:pStyle w:val="Heading2"/>
      </w:pPr>
      <w:r>
        <w:t>9. Conclusion</w:t>
      </w:r>
    </w:p>
    <w:p w14:paraId="57244F46" w14:textId="77777777" w:rsidR="00A766B7" w:rsidRDefault="009B6FB7">
      <w:r>
        <w:t>Motor A shows multiple converging indicators of near-term failure, supported by both predictive modeling and FMEA risk assessment. Proactive maintenance is strongly recommended to prevent unplanned downtime. Motor B remains stable with no immediate risk. This report presents clear, accessible, and actionable information to support confident decision-making in your maintenance program.</w:t>
      </w:r>
    </w:p>
    <w:sectPr w:rsidR="00A766B7" w:rsidSect="00E93C35">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9A4AE" w14:textId="77777777" w:rsidR="00E93C35" w:rsidRDefault="00E93C35" w:rsidP="00E93C35">
      <w:pPr>
        <w:spacing w:after="0" w:line="240" w:lineRule="auto"/>
      </w:pPr>
      <w:r>
        <w:separator/>
      </w:r>
    </w:p>
  </w:endnote>
  <w:endnote w:type="continuationSeparator" w:id="0">
    <w:p w14:paraId="4EF84873" w14:textId="77777777" w:rsidR="00E93C35" w:rsidRDefault="00E93C35" w:rsidP="00E93C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4D7EA" w14:textId="31B299F0" w:rsidR="00E93C35" w:rsidRDefault="00E93C35" w:rsidP="00E93C35">
    <w:pPr>
      <w:pStyle w:val="Footer"/>
      <w:jc w:val="center"/>
    </w:pPr>
    <w:r>
      <w:t xml:space="preserve">Prepared by Coley Costello </w:t>
    </w:r>
    <w:r w:rsidRPr="00E93C35">
      <w:rPr>
        <w:sz w:val="10"/>
        <w:szCs w:val="10"/>
      </w:rPr>
      <w:t xml:space="preserve">● </w:t>
    </w:r>
    <w:r>
      <w:t xml:space="preserve">X Team, YZ Corporation </w:t>
    </w:r>
    <w:r w:rsidRPr="00E93C35">
      <w:rPr>
        <w:sz w:val="10"/>
        <w:szCs w:val="10"/>
      </w:rPr>
      <w:t>●</w:t>
    </w:r>
    <w:r w:rsidRPr="00E93C35">
      <w:rPr>
        <w:sz w:val="16"/>
        <w:szCs w:val="16"/>
      </w:rPr>
      <w:t xml:space="preserve"> </w:t>
    </w:r>
    <w:r>
      <w:t>December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0C86B" w14:textId="77777777" w:rsidR="00E93C35" w:rsidRDefault="00E93C35" w:rsidP="00E93C35">
      <w:pPr>
        <w:spacing w:after="0" w:line="240" w:lineRule="auto"/>
      </w:pPr>
      <w:r>
        <w:separator/>
      </w:r>
    </w:p>
  </w:footnote>
  <w:footnote w:type="continuationSeparator" w:id="0">
    <w:p w14:paraId="707D10DB" w14:textId="77777777" w:rsidR="00E93C35" w:rsidRDefault="00E93C35" w:rsidP="00E93C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6204108">
    <w:abstractNumId w:val="8"/>
  </w:num>
  <w:num w:numId="2" w16cid:durableId="608121789">
    <w:abstractNumId w:val="6"/>
  </w:num>
  <w:num w:numId="3" w16cid:durableId="1252197635">
    <w:abstractNumId w:val="5"/>
  </w:num>
  <w:num w:numId="4" w16cid:durableId="460537073">
    <w:abstractNumId w:val="4"/>
  </w:num>
  <w:num w:numId="5" w16cid:durableId="246888720">
    <w:abstractNumId w:val="7"/>
  </w:num>
  <w:num w:numId="6" w16cid:durableId="640882969">
    <w:abstractNumId w:val="3"/>
  </w:num>
  <w:num w:numId="7" w16cid:durableId="430856714">
    <w:abstractNumId w:val="2"/>
  </w:num>
  <w:num w:numId="8" w16cid:durableId="1714308129">
    <w:abstractNumId w:val="1"/>
  </w:num>
  <w:num w:numId="9" w16cid:durableId="1178882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B0B91"/>
    <w:rsid w:val="009B6FB7"/>
    <w:rsid w:val="00A766B7"/>
    <w:rsid w:val="00AA1D8D"/>
    <w:rsid w:val="00B47730"/>
    <w:rsid w:val="00C8160E"/>
    <w:rsid w:val="00CB0664"/>
    <w:rsid w:val="00CB4AC9"/>
    <w:rsid w:val="00E93C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68A726"/>
  <w14:defaultImageDpi w14:val="300"/>
  <w15:docId w15:val="{231F03E0-33EE-40BC-999C-02F1FED22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612</Words>
  <Characters>3940</Characters>
  <Application>Microsoft Office Word</Application>
  <DocSecurity>0</DocSecurity>
  <Lines>78</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Coley Costello</cp:lastModifiedBy>
  <cp:revision>4</cp:revision>
  <dcterms:created xsi:type="dcterms:W3CDTF">2025-12-05T21:39:00Z</dcterms:created>
  <dcterms:modified xsi:type="dcterms:W3CDTF">2025-12-05T21:44:00Z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142d5f5f-cfd5-4a24-a668-ec8f4228790c</vt:lpwstr>
  </property>
</Properties>
</file>