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E8F75E" w14:textId="413CC8E2" w:rsidR="005D3851" w:rsidRPr="00CD1020" w:rsidRDefault="00CD1020" w:rsidP="00CD1020">
      <w:pPr>
        <w:spacing w:line="480" w:lineRule="auto"/>
        <w:jc w:val="center"/>
        <w:rPr>
          <w:rFonts w:ascii="Times New Roman" w:hAnsi="Times New Roman" w:cs="Times New Roman"/>
          <w:sz w:val="24"/>
          <w:szCs w:val="24"/>
        </w:rPr>
      </w:pPr>
      <w:r w:rsidRPr="00CD1020">
        <w:rPr>
          <w:rFonts w:ascii="Times New Roman" w:hAnsi="Times New Roman" w:cs="Times New Roman"/>
          <w:sz w:val="24"/>
          <w:szCs w:val="24"/>
        </w:rPr>
        <w:t>Identification of Suitable Predictive Models for Classifying Terminal Patients</w:t>
      </w:r>
    </w:p>
    <w:p w14:paraId="53F3547A" w14:textId="16FC95A4" w:rsidR="00CD1020" w:rsidRDefault="00CD1020" w:rsidP="00CD102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Roberto Cancel, Kyle Esteban </w:t>
      </w:r>
      <w:proofErr w:type="spellStart"/>
      <w:r>
        <w:rPr>
          <w:rFonts w:ascii="Times New Roman" w:hAnsi="Times New Roman" w:cs="Times New Roman"/>
          <w:sz w:val="24"/>
          <w:szCs w:val="24"/>
        </w:rPr>
        <w:t>Dalope</w:t>
      </w:r>
      <w:proofErr w:type="spellEnd"/>
      <w:r>
        <w:rPr>
          <w:rFonts w:ascii="Times New Roman" w:hAnsi="Times New Roman" w:cs="Times New Roman"/>
          <w:sz w:val="24"/>
          <w:szCs w:val="24"/>
        </w:rPr>
        <w:t>, and Nicholas Lee</w:t>
      </w:r>
    </w:p>
    <w:p w14:paraId="4A142279" w14:textId="77777777" w:rsidR="00CD1020" w:rsidRPr="003411F9" w:rsidRDefault="00CD1020" w:rsidP="00CD1020">
      <w:pPr>
        <w:spacing w:line="480" w:lineRule="auto"/>
        <w:jc w:val="center"/>
        <w:rPr>
          <w:rFonts w:ascii="Times New Roman" w:hAnsi="Times New Roman" w:cs="Times New Roman"/>
        </w:rPr>
      </w:pPr>
      <w:r w:rsidRPr="003411F9">
        <w:rPr>
          <w:rFonts w:ascii="Times New Roman" w:hAnsi="Times New Roman" w:cs="Times New Roman"/>
        </w:rPr>
        <w:t>University of San Diego</w:t>
      </w:r>
    </w:p>
    <w:p w14:paraId="017B587F" w14:textId="77777777" w:rsidR="00CD1020" w:rsidRPr="003411F9" w:rsidRDefault="00CD1020" w:rsidP="00CD1020">
      <w:pPr>
        <w:spacing w:line="480" w:lineRule="auto"/>
        <w:jc w:val="center"/>
        <w:rPr>
          <w:rFonts w:ascii="Times New Roman" w:hAnsi="Times New Roman" w:cs="Times New Roman"/>
        </w:rPr>
      </w:pPr>
      <w:r w:rsidRPr="003411F9">
        <w:rPr>
          <w:rFonts w:ascii="Times New Roman" w:hAnsi="Times New Roman" w:cs="Times New Roman"/>
        </w:rPr>
        <w:t>Master of Science, Applied Data Science</w:t>
      </w:r>
    </w:p>
    <w:p w14:paraId="73FEC01F" w14:textId="1A4F92EB" w:rsidR="00CD1020" w:rsidRPr="003411F9" w:rsidRDefault="00CD1020" w:rsidP="00CD1020">
      <w:pPr>
        <w:spacing w:line="480" w:lineRule="auto"/>
        <w:jc w:val="center"/>
        <w:rPr>
          <w:rFonts w:ascii="Times New Roman" w:hAnsi="Times New Roman" w:cs="Times New Roman"/>
        </w:rPr>
      </w:pPr>
      <w:r w:rsidRPr="003411F9">
        <w:rPr>
          <w:rFonts w:ascii="Times New Roman" w:hAnsi="Times New Roman" w:cs="Times New Roman"/>
        </w:rPr>
        <w:t>ADS-50</w:t>
      </w:r>
      <w:r>
        <w:rPr>
          <w:rFonts w:ascii="Times New Roman" w:hAnsi="Times New Roman" w:cs="Times New Roman"/>
        </w:rPr>
        <w:t>3</w:t>
      </w:r>
      <w:r w:rsidRPr="003411F9">
        <w:rPr>
          <w:rFonts w:ascii="Times New Roman" w:hAnsi="Times New Roman" w:cs="Times New Roman"/>
        </w:rPr>
        <w:t xml:space="preserve"> </w:t>
      </w:r>
      <w:r>
        <w:rPr>
          <w:rFonts w:ascii="Times New Roman" w:hAnsi="Times New Roman" w:cs="Times New Roman"/>
        </w:rPr>
        <w:t>Applied Predictive Modeling</w:t>
      </w:r>
    </w:p>
    <w:p w14:paraId="0F1D6A1D" w14:textId="77777777" w:rsidR="00CD1020" w:rsidRPr="003411F9" w:rsidRDefault="00CD1020" w:rsidP="00CD1020">
      <w:pPr>
        <w:spacing w:line="480" w:lineRule="auto"/>
        <w:jc w:val="center"/>
        <w:rPr>
          <w:rFonts w:ascii="Times New Roman" w:hAnsi="Times New Roman" w:cs="Times New Roman"/>
        </w:rPr>
      </w:pPr>
      <w:r w:rsidRPr="003411F9">
        <w:rPr>
          <w:rFonts w:ascii="Times New Roman" w:hAnsi="Times New Roman" w:cs="Times New Roman"/>
        </w:rPr>
        <w:t>Section 01</w:t>
      </w:r>
    </w:p>
    <w:p w14:paraId="111A9F2B" w14:textId="77777777" w:rsidR="007C28A5" w:rsidRDefault="00CD1020" w:rsidP="00CD1020">
      <w:pPr>
        <w:spacing w:line="480" w:lineRule="auto"/>
        <w:jc w:val="center"/>
        <w:rPr>
          <w:rFonts w:ascii="Times New Roman" w:hAnsi="Times New Roman" w:cs="Times New Roman"/>
        </w:rPr>
        <w:sectPr w:rsidR="007C28A5" w:rsidSect="007C28A5">
          <w:headerReference w:type="default" r:id="rId7"/>
          <w:pgSz w:w="12240" w:h="15840"/>
          <w:pgMar w:top="1440" w:right="1440" w:bottom="1440" w:left="1440" w:header="720" w:footer="720" w:gutter="0"/>
          <w:cols w:space="720"/>
          <w:vAlign w:val="center"/>
          <w:docGrid w:linePitch="360"/>
        </w:sectPr>
      </w:pPr>
      <w:r w:rsidRPr="003411F9">
        <w:rPr>
          <w:rFonts w:ascii="Times New Roman" w:hAnsi="Times New Roman" w:cs="Times New Roman"/>
        </w:rPr>
        <w:t>J</w:t>
      </w:r>
      <w:r>
        <w:rPr>
          <w:rFonts w:ascii="Times New Roman" w:hAnsi="Times New Roman" w:cs="Times New Roman"/>
        </w:rPr>
        <w:t>une</w:t>
      </w:r>
      <w:r w:rsidRPr="003411F9">
        <w:rPr>
          <w:rFonts w:ascii="Times New Roman" w:hAnsi="Times New Roman" w:cs="Times New Roman"/>
        </w:rPr>
        <w:t xml:space="preserve"> 2</w:t>
      </w:r>
      <w:r>
        <w:rPr>
          <w:rFonts w:ascii="Times New Roman" w:hAnsi="Times New Roman" w:cs="Times New Roman"/>
        </w:rPr>
        <w:t>7</w:t>
      </w:r>
      <w:r w:rsidRPr="003411F9">
        <w:rPr>
          <w:rFonts w:ascii="Times New Roman" w:hAnsi="Times New Roman" w:cs="Times New Roman"/>
        </w:rPr>
        <w:t>, 2022</w:t>
      </w:r>
    </w:p>
    <w:p w14:paraId="730572C4" w14:textId="5695FBFF" w:rsidR="00CD1020" w:rsidRDefault="007C28A5" w:rsidP="007C28A5">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Introduction</w:t>
      </w:r>
    </w:p>
    <w:p w14:paraId="52F15009" w14:textId="03DECC5B" w:rsidR="007C28A5" w:rsidRDefault="00B52C6F" w:rsidP="007C28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One of the most daunting tasks faced in the medical field is the decision of the order in which patients are admitted. </w:t>
      </w:r>
      <w:r w:rsidR="000D68CE">
        <w:rPr>
          <w:rFonts w:ascii="Times New Roman" w:hAnsi="Times New Roman" w:cs="Times New Roman"/>
          <w:sz w:val="24"/>
          <w:szCs w:val="24"/>
        </w:rPr>
        <w:t xml:space="preserve">Severity of the same illness can vary from person to person; thus, mortality varies between individuals as well. </w:t>
      </w:r>
      <w:r w:rsidR="00F5733D">
        <w:rPr>
          <w:rFonts w:ascii="Times New Roman" w:hAnsi="Times New Roman" w:cs="Times New Roman"/>
          <w:sz w:val="24"/>
          <w:szCs w:val="24"/>
        </w:rPr>
        <w:t>Earl</w:t>
      </w:r>
      <w:r w:rsidR="00F0456D">
        <w:rPr>
          <w:rFonts w:ascii="Times New Roman" w:hAnsi="Times New Roman" w:cs="Times New Roman"/>
          <w:sz w:val="24"/>
          <w:szCs w:val="24"/>
        </w:rPr>
        <w:t>y</w:t>
      </w:r>
      <w:r w:rsidR="00F5733D">
        <w:rPr>
          <w:rFonts w:ascii="Times New Roman" w:hAnsi="Times New Roman" w:cs="Times New Roman"/>
          <w:sz w:val="24"/>
          <w:szCs w:val="24"/>
        </w:rPr>
        <w:t xml:space="preserve"> models </w:t>
      </w:r>
      <w:r w:rsidR="00F0456D">
        <w:rPr>
          <w:rFonts w:ascii="Times New Roman" w:hAnsi="Times New Roman" w:cs="Times New Roman"/>
          <w:sz w:val="24"/>
          <w:szCs w:val="24"/>
        </w:rPr>
        <w:t>that</w:t>
      </w:r>
      <w:r w:rsidR="00F5733D">
        <w:rPr>
          <w:rFonts w:ascii="Times New Roman" w:hAnsi="Times New Roman" w:cs="Times New Roman"/>
          <w:sz w:val="24"/>
          <w:szCs w:val="24"/>
        </w:rPr>
        <w:t xml:space="preserve"> attempted to predict for severity and mortality </w:t>
      </w:r>
      <w:r w:rsidR="00F0456D">
        <w:rPr>
          <w:rFonts w:ascii="Times New Roman" w:hAnsi="Times New Roman" w:cs="Times New Roman"/>
          <w:sz w:val="24"/>
          <w:szCs w:val="24"/>
        </w:rPr>
        <w:t xml:space="preserve">found </w:t>
      </w:r>
      <w:r w:rsidR="00F5733D">
        <w:rPr>
          <w:rFonts w:ascii="Times New Roman" w:hAnsi="Times New Roman" w:cs="Times New Roman"/>
          <w:sz w:val="24"/>
          <w:szCs w:val="24"/>
        </w:rPr>
        <w:t xml:space="preserve">limited success. </w:t>
      </w:r>
      <w:r w:rsidR="00163313">
        <w:rPr>
          <w:rFonts w:ascii="Times New Roman" w:hAnsi="Times New Roman" w:cs="Times New Roman"/>
          <w:sz w:val="24"/>
          <w:szCs w:val="24"/>
        </w:rPr>
        <w:t>For example,</w:t>
      </w:r>
      <w:r w:rsidR="00487B18">
        <w:rPr>
          <w:rFonts w:ascii="Times New Roman" w:hAnsi="Times New Roman" w:cs="Times New Roman"/>
          <w:sz w:val="24"/>
          <w:szCs w:val="24"/>
        </w:rPr>
        <w:t xml:space="preserve"> Green et al. (1990)</w:t>
      </w:r>
      <w:r w:rsidR="00163313">
        <w:rPr>
          <w:rFonts w:ascii="Times New Roman" w:hAnsi="Times New Roman" w:cs="Times New Roman"/>
          <w:sz w:val="24"/>
          <w:szCs w:val="24"/>
        </w:rPr>
        <w:t xml:space="preserve"> the </w:t>
      </w:r>
      <w:r w:rsidR="00163313" w:rsidRPr="00163313">
        <w:rPr>
          <w:rFonts w:ascii="Times New Roman" w:hAnsi="Times New Roman" w:cs="Times New Roman"/>
          <w:sz w:val="24"/>
          <w:szCs w:val="24"/>
        </w:rPr>
        <w:t>Health Care Financing Administration (HCFA)</w:t>
      </w:r>
      <w:r w:rsidR="00163313">
        <w:rPr>
          <w:rFonts w:ascii="Times New Roman" w:hAnsi="Times New Roman" w:cs="Times New Roman"/>
          <w:sz w:val="24"/>
          <w:szCs w:val="24"/>
        </w:rPr>
        <w:t xml:space="preserve"> constructed a model that could not accurately predict for patient mortality across multiple hospital</w:t>
      </w:r>
      <w:r w:rsidR="00487B18">
        <w:rPr>
          <w:rFonts w:ascii="Times New Roman" w:hAnsi="Times New Roman" w:cs="Times New Roman"/>
          <w:sz w:val="24"/>
          <w:szCs w:val="24"/>
        </w:rPr>
        <w:t>s</w:t>
      </w:r>
      <w:r w:rsidR="00163313">
        <w:rPr>
          <w:rFonts w:ascii="Times New Roman" w:hAnsi="Times New Roman" w:cs="Times New Roman"/>
          <w:sz w:val="24"/>
          <w:szCs w:val="24"/>
        </w:rPr>
        <w:t xml:space="preserve">. </w:t>
      </w:r>
      <w:r w:rsidR="00F0456D">
        <w:rPr>
          <w:rFonts w:ascii="Times New Roman" w:hAnsi="Times New Roman" w:cs="Times New Roman"/>
          <w:sz w:val="24"/>
          <w:szCs w:val="24"/>
        </w:rPr>
        <w:t xml:space="preserve">Since the release of the study by Green et al., with a deeper understanding of machine learning and medicine, it has been shown that machine learning models can accurately define severity and a patient’s probability of mortality. </w:t>
      </w:r>
      <w:r w:rsidR="004010F2">
        <w:rPr>
          <w:rFonts w:ascii="Times New Roman" w:hAnsi="Times New Roman" w:cs="Times New Roman"/>
          <w:sz w:val="24"/>
          <w:szCs w:val="24"/>
        </w:rPr>
        <w:t xml:space="preserve">One study, by Steele et al. (2018), utilized “Cox models, random forests and elastic net regression” models to </w:t>
      </w:r>
      <w:r w:rsidR="007026D7">
        <w:rPr>
          <w:rFonts w:ascii="Times New Roman" w:hAnsi="Times New Roman" w:cs="Times New Roman"/>
          <w:sz w:val="24"/>
          <w:szCs w:val="24"/>
        </w:rPr>
        <w:t xml:space="preserve">predict for patient mortality with regards to coronary artery disease. </w:t>
      </w:r>
      <w:r w:rsidR="006D2E06">
        <w:rPr>
          <w:rFonts w:ascii="Times New Roman" w:hAnsi="Times New Roman" w:cs="Times New Roman"/>
          <w:sz w:val="24"/>
          <w:szCs w:val="24"/>
        </w:rPr>
        <w:t>Another study utilized “</w:t>
      </w:r>
      <w:r w:rsidR="006D2E06" w:rsidRPr="006D2E06">
        <w:rPr>
          <w:rFonts w:ascii="Times New Roman" w:hAnsi="Times New Roman" w:cs="Times New Roman"/>
          <w:sz w:val="24"/>
          <w:szCs w:val="24"/>
        </w:rPr>
        <w:t>Support Vector Machine (SVM), Artificial Neural Networks, Random Forest, Decision Tree, Logistic Regression, and K-Nearest Neighbor (KNN)</w:t>
      </w:r>
      <w:r w:rsidR="006D2E06">
        <w:rPr>
          <w:rFonts w:ascii="Times New Roman" w:hAnsi="Times New Roman" w:cs="Times New Roman"/>
          <w:sz w:val="24"/>
          <w:szCs w:val="24"/>
        </w:rPr>
        <w:t>” algorithms to accurately identify 89.98% of COVID-19-related mortality rates (</w:t>
      </w:r>
      <w:r w:rsidR="006D2E06" w:rsidRPr="006D2E06">
        <w:rPr>
          <w:rFonts w:ascii="Times New Roman" w:hAnsi="Times New Roman" w:cs="Times New Roman"/>
          <w:sz w:val="24"/>
          <w:szCs w:val="24"/>
        </w:rPr>
        <w:t>Pourhomayoun &amp; Shakibi, 2021)</w:t>
      </w:r>
      <w:r w:rsidR="006D2E06">
        <w:rPr>
          <w:rFonts w:ascii="Times New Roman" w:hAnsi="Times New Roman" w:cs="Times New Roman"/>
          <w:sz w:val="24"/>
          <w:szCs w:val="24"/>
        </w:rPr>
        <w:t>.</w:t>
      </w:r>
      <w:r w:rsidR="00986A45">
        <w:rPr>
          <w:rFonts w:ascii="Times New Roman" w:hAnsi="Times New Roman" w:cs="Times New Roman"/>
          <w:sz w:val="24"/>
          <w:szCs w:val="24"/>
        </w:rPr>
        <w:t xml:space="preserve"> </w:t>
      </w:r>
      <w:r w:rsidR="00CA0DB9">
        <w:rPr>
          <w:rFonts w:ascii="Times New Roman" w:hAnsi="Times New Roman" w:cs="Times New Roman"/>
          <w:sz w:val="24"/>
          <w:szCs w:val="24"/>
        </w:rPr>
        <w:t>While the models above were able to accurately predict for mortality and severity, those models were limited to a singl</w:t>
      </w:r>
      <w:r w:rsidR="00ED2084">
        <w:rPr>
          <w:rFonts w:ascii="Times New Roman" w:hAnsi="Times New Roman" w:cs="Times New Roman"/>
          <w:sz w:val="24"/>
          <w:szCs w:val="24"/>
        </w:rPr>
        <w:t xml:space="preserve">e illness. </w:t>
      </w:r>
      <w:r w:rsidR="002B12AE">
        <w:rPr>
          <w:rFonts w:ascii="Times New Roman" w:hAnsi="Times New Roman" w:cs="Times New Roman"/>
          <w:sz w:val="24"/>
          <w:szCs w:val="24"/>
        </w:rPr>
        <w:t xml:space="preserve">In cases where illnesses are diverse, such as in the emergency room or intensive care unit, there is a need for a model to rank severity and predict mortality across multiple illnesses at once. </w:t>
      </w:r>
      <w:r w:rsidR="008248BF">
        <w:rPr>
          <w:rFonts w:ascii="Times New Roman" w:hAnsi="Times New Roman" w:cs="Times New Roman"/>
          <w:sz w:val="24"/>
          <w:szCs w:val="24"/>
        </w:rPr>
        <w:t xml:space="preserve">To do so, the </w:t>
      </w:r>
      <w:r w:rsidR="008248BF" w:rsidRPr="008248BF">
        <w:rPr>
          <w:rFonts w:ascii="Times New Roman" w:hAnsi="Times New Roman" w:cs="Times New Roman"/>
          <w:sz w:val="24"/>
          <w:szCs w:val="24"/>
        </w:rPr>
        <w:t>Acute Physiology and Chronic Health Assessment Evaluation scoring system (APACHE)</w:t>
      </w:r>
      <w:r w:rsidR="008248BF">
        <w:rPr>
          <w:rFonts w:ascii="Times New Roman" w:hAnsi="Times New Roman" w:cs="Times New Roman"/>
          <w:sz w:val="24"/>
          <w:szCs w:val="24"/>
        </w:rPr>
        <w:t xml:space="preserve"> is commonly used. </w:t>
      </w:r>
      <w:r w:rsidR="00DC1932">
        <w:rPr>
          <w:rFonts w:ascii="Times New Roman" w:hAnsi="Times New Roman" w:cs="Times New Roman"/>
          <w:sz w:val="24"/>
          <w:szCs w:val="24"/>
        </w:rPr>
        <w:t>The goal of this study is to utilize APACHE scores, along with other descriptive features of patients, to create a model that can accurately identify the risk for death</w:t>
      </w:r>
      <w:r w:rsidR="00C20B70">
        <w:rPr>
          <w:rFonts w:ascii="Times New Roman" w:hAnsi="Times New Roman" w:cs="Times New Roman"/>
          <w:sz w:val="24"/>
          <w:szCs w:val="24"/>
        </w:rPr>
        <w:t xml:space="preserve"> in the presence of multiple illnesses. </w:t>
      </w:r>
    </w:p>
    <w:p w14:paraId="15526952" w14:textId="159F335A" w:rsidR="0032411F" w:rsidRDefault="0032411F" w:rsidP="007C28A5">
      <w:pPr>
        <w:spacing w:line="480" w:lineRule="auto"/>
        <w:rPr>
          <w:rFonts w:ascii="Times New Roman" w:hAnsi="Times New Roman" w:cs="Times New Roman"/>
          <w:sz w:val="24"/>
          <w:szCs w:val="24"/>
        </w:rPr>
      </w:pPr>
    </w:p>
    <w:p w14:paraId="1781BEE4" w14:textId="6784F755" w:rsidR="0032411F" w:rsidRDefault="0032411F" w:rsidP="007C28A5">
      <w:pPr>
        <w:spacing w:line="480" w:lineRule="auto"/>
        <w:rPr>
          <w:rFonts w:ascii="Times New Roman" w:hAnsi="Times New Roman" w:cs="Times New Roman"/>
          <w:sz w:val="24"/>
          <w:szCs w:val="24"/>
        </w:rPr>
      </w:pPr>
    </w:p>
    <w:p w14:paraId="73117528" w14:textId="70BAB308" w:rsidR="0032411F" w:rsidRDefault="0032411F" w:rsidP="0032411F">
      <w:pPr>
        <w:spacing w:line="480" w:lineRule="auto"/>
        <w:jc w:val="center"/>
        <w:rPr>
          <w:rFonts w:ascii="Times New Roman" w:hAnsi="Times New Roman" w:cs="Times New Roman"/>
          <w:sz w:val="24"/>
          <w:szCs w:val="24"/>
        </w:rPr>
      </w:pPr>
      <w:r>
        <w:rPr>
          <w:rFonts w:ascii="Times New Roman" w:hAnsi="Times New Roman" w:cs="Times New Roman"/>
          <w:b/>
          <w:bCs/>
          <w:sz w:val="24"/>
          <w:szCs w:val="24"/>
        </w:rPr>
        <w:lastRenderedPageBreak/>
        <w:t>Exploratory Data Analysis (EDA)</w:t>
      </w:r>
    </w:p>
    <w:p w14:paraId="457336A9" w14:textId="77CB9098" w:rsidR="00093EDE" w:rsidRDefault="00093EDE" w:rsidP="00093ED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Given the objective, the target feature is </w:t>
      </w:r>
      <w:proofErr w:type="spellStart"/>
      <w:r>
        <w:rPr>
          <w:rFonts w:ascii="Times New Roman" w:hAnsi="Times New Roman" w:cs="Times New Roman"/>
          <w:sz w:val="24"/>
          <w:szCs w:val="24"/>
        </w:rPr>
        <w:t>hospital_death</w:t>
      </w:r>
      <w:proofErr w:type="spellEnd"/>
      <w:r>
        <w:rPr>
          <w:rFonts w:ascii="Times New Roman" w:hAnsi="Times New Roman" w:cs="Times New Roman"/>
          <w:sz w:val="24"/>
          <w:szCs w:val="24"/>
        </w:rPr>
        <w:t xml:space="preserve">, a binary feature where zero represents a patient who has not died, and one represents a patient who will pass or has passed. The upper bar chart of Figure 1 illustrates the proportion of instances by the target feature. </w:t>
      </w:r>
      <w:r w:rsidR="00484D40">
        <w:rPr>
          <w:rFonts w:ascii="Times New Roman" w:hAnsi="Times New Roman" w:cs="Times New Roman"/>
          <w:sz w:val="24"/>
          <w:szCs w:val="24"/>
        </w:rPr>
        <w:t>In addition, the plot shows how imbalanced the data set is, where instances associated with death make up less than 10% of the data set.</w:t>
      </w:r>
      <w:r w:rsidR="007C7A7E">
        <w:rPr>
          <w:rFonts w:ascii="Times New Roman" w:hAnsi="Times New Roman" w:cs="Times New Roman"/>
          <w:sz w:val="24"/>
          <w:szCs w:val="24"/>
        </w:rPr>
        <w:t xml:space="preserve"> </w:t>
      </w:r>
      <w:r w:rsidR="00515445">
        <w:rPr>
          <w:rFonts w:ascii="Times New Roman" w:hAnsi="Times New Roman" w:cs="Times New Roman"/>
          <w:sz w:val="24"/>
          <w:szCs w:val="24"/>
        </w:rPr>
        <w:t>The subsequent plots help promote insight into the relationship between mortality rate and patient characteristics by plotting the target features against some predictors. For example, the bottom bar chart in Fig</w:t>
      </w:r>
      <w:r w:rsidR="00DC3EB0">
        <w:rPr>
          <w:rFonts w:ascii="Times New Roman" w:hAnsi="Times New Roman" w:cs="Times New Roman"/>
          <w:sz w:val="24"/>
          <w:szCs w:val="24"/>
        </w:rPr>
        <w:t xml:space="preserve">ure 1 shows the total proportion of death by each ICU Stay Type category. </w:t>
      </w:r>
      <w:r w:rsidR="00752A58">
        <w:rPr>
          <w:rFonts w:ascii="Times New Roman" w:hAnsi="Times New Roman" w:cs="Times New Roman"/>
          <w:sz w:val="24"/>
          <w:szCs w:val="24"/>
        </w:rPr>
        <w:t>While the proportion of death may not be different by category, what this plot is indicating is that there is not much of a difference in mortality risk whether the patient is newly admitted to the ICU, released and readmitted, or transferred to the ICU from another department.</w:t>
      </w:r>
    </w:p>
    <w:p w14:paraId="03455A0B" w14:textId="28A24B4D" w:rsidR="006D3BB0" w:rsidRDefault="006D3BB0" w:rsidP="00093EDE">
      <w:pPr>
        <w:spacing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752F7ED8" w14:textId="254CFBC6" w:rsidR="006D3BB0" w:rsidRPr="006D3BB0" w:rsidRDefault="006D3BB0" w:rsidP="00093EDE">
      <w:pPr>
        <w:spacing w:line="480" w:lineRule="auto"/>
        <w:rPr>
          <w:rFonts w:ascii="Times New Roman" w:hAnsi="Times New Roman" w:cs="Times New Roman"/>
          <w:i/>
          <w:iCs/>
          <w:sz w:val="24"/>
          <w:szCs w:val="24"/>
        </w:rPr>
      </w:pPr>
      <w:r>
        <w:rPr>
          <w:rFonts w:ascii="Times New Roman" w:hAnsi="Times New Roman" w:cs="Times New Roman"/>
          <w:i/>
          <w:iCs/>
          <w:sz w:val="24"/>
          <w:szCs w:val="24"/>
        </w:rPr>
        <w:t>Bar Charts of the Target Feature Isolated and Associated with ICU Stay Type</w:t>
      </w:r>
    </w:p>
    <w:p w14:paraId="25D27D74" w14:textId="628EBE3B" w:rsidR="0032411F" w:rsidRDefault="00093EDE" w:rsidP="0032411F">
      <w:pPr>
        <w:spacing w:line="480" w:lineRule="auto"/>
        <w:rPr>
          <w:rFonts w:ascii="Times New Roman" w:hAnsi="Times New Roman" w:cs="Times New Roman"/>
          <w:sz w:val="24"/>
          <w:szCs w:val="24"/>
        </w:rPr>
      </w:pPr>
      <w:r w:rsidRPr="00093EDE">
        <w:rPr>
          <w:noProof/>
        </w:rPr>
        <w:drawing>
          <wp:inline distT="0" distB="0" distL="0" distR="0" wp14:anchorId="4612D74C" wp14:editId="31C4B634">
            <wp:extent cx="4715937" cy="2910178"/>
            <wp:effectExtent l="0" t="0" r="8890" b="508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8"/>
                    <a:stretch>
                      <a:fillRect/>
                    </a:stretch>
                  </pic:blipFill>
                  <pic:spPr>
                    <a:xfrm>
                      <a:off x="0" y="0"/>
                      <a:ext cx="4735037" cy="2921964"/>
                    </a:xfrm>
                    <a:prstGeom prst="rect">
                      <a:avLst/>
                    </a:prstGeom>
                  </pic:spPr>
                </pic:pic>
              </a:graphicData>
            </a:graphic>
          </wp:inline>
        </w:drawing>
      </w:r>
    </w:p>
    <w:p w14:paraId="1924D95E" w14:textId="670964EE" w:rsidR="00C928C4" w:rsidRDefault="00FD46B8" w:rsidP="003241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6008BD">
        <w:rPr>
          <w:rFonts w:ascii="Times New Roman" w:hAnsi="Times New Roman" w:cs="Times New Roman"/>
          <w:sz w:val="24"/>
          <w:szCs w:val="24"/>
        </w:rPr>
        <w:t>As mentioned previously, the Apache scoring system is a measure of risk for mortality in the ICU.</w:t>
      </w:r>
      <w:r w:rsidR="00405BCF">
        <w:rPr>
          <w:rFonts w:ascii="Times New Roman" w:hAnsi="Times New Roman" w:cs="Times New Roman"/>
          <w:sz w:val="24"/>
          <w:szCs w:val="24"/>
        </w:rPr>
        <w:t xml:space="preserve"> The Apache system has several categories that patients receive a score from. The scores from each category are summed into a cumulative score, and the overall risk is determined from the sum. In the data set, different versions of the Apache system were taken into consideration, as the system by hospitals globally vary. </w:t>
      </w:r>
      <w:r w:rsidR="00BA62F9">
        <w:rPr>
          <w:rFonts w:ascii="Times New Roman" w:hAnsi="Times New Roman" w:cs="Times New Roman"/>
          <w:sz w:val="24"/>
          <w:szCs w:val="24"/>
        </w:rPr>
        <w:t>Apache II versus Apache III vary in that Apache III has been updated; and, according to Hsu et al. (2001), Apache III has slightly more discriminative power, performing better in terms of its ability to predict high risk patients, than Apache II does. In Figure 2, the bar charts show the proportion of death and non-death patients for each category of the two Apache systems. From these bar charts, it can be deduced that patients that receive a score for sepsis with the Apache III system have a higher risk for mortality. Similarly, with the Apache II system, the three categories with the highest proportion of mortality are respiratory, hematologic, and cardiovascular. A plot, such as F</w:t>
      </w:r>
      <w:r w:rsidR="005B77F6">
        <w:rPr>
          <w:rFonts w:ascii="Times New Roman" w:hAnsi="Times New Roman" w:cs="Times New Roman"/>
          <w:sz w:val="24"/>
          <w:szCs w:val="24"/>
        </w:rPr>
        <w:t>ig. 2, can assist in determining whether a patient is at high risk for death if they receive a score for a certain category.</w:t>
      </w:r>
    </w:p>
    <w:p w14:paraId="6E71E5B6" w14:textId="019DA97B" w:rsidR="005B77F6" w:rsidRDefault="005B77F6" w:rsidP="0032411F">
      <w:pPr>
        <w:spacing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187B9699" w14:textId="64A8CB19" w:rsidR="005B77F6" w:rsidRPr="005B77F6" w:rsidRDefault="005B77F6" w:rsidP="0032411F">
      <w:pPr>
        <w:spacing w:line="480" w:lineRule="auto"/>
        <w:rPr>
          <w:rFonts w:ascii="Times New Roman" w:hAnsi="Times New Roman" w:cs="Times New Roman"/>
          <w:i/>
          <w:iCs/>
          <w:sz w:val="24"/>
          <w:szCs w:val="24"/>
        </w:rPr>
      </w:pPr>
      <w:r>
        <w:rPr>
          <w:rFonts w:ascii="Times New Roman" w:hAnsi="Times New Roman" w:cs="Times New Roman"/>
          <w:i/>
          <w:iCs/>
          <w:sz w:val="24"/>
          <w:szCs w:val="24"/>
        </w:rPr>
        <w:t>Stack Bar Charts of Categories for Each Apache System</w:t>
      </w:r>
    </w:p>
    <w:p w14:paraId="191348BC" w14:textId="7D305605" w:rsidR="00093EDE" w:rsidRDefault="00093EDE" w:rsidP="0032411F">
      <w:pPr>
        <w:spacing w:line="480" w:lineRule="auto"/>
        <w:rPr>
          <w:rFonts w:ascii="Times New Roman" w:hAnsi="Times New Roman" w:cs="Times New Roman"/>
          <w:sz w:val="24"/>
          <w:szCs w:val="24"/>
        </w:rPr>
      </w:pPr>
      <w:r w:rsidRPr="00093EDE">
        <w:rPr>
          <w:noProof/>
        </w:rPr>
        <w:drawing>
          <wp:inline distT="0" distB="0" distL="0" distR="0" wp14:anchorId="7B79F428" wp14:editId="5473E54B">
            <wp:extent cx="3856383" cy="2379751"/>
            <wp:effectExtent l="0" t="0" r="0" b="1905"/>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9"/>
                    <a:stretch>
                      <a:fillRect/>
                    </a:stretch>
                  </pic:blipFill>
                  <pic:spPr>
                    <a:xfrm>
                      <a:off x="0" y="0"/>
                      <a:ext cx="3858787" cy="2381234"/>
                    </a:xfrm>
                    <a:prstGeom prst="rect">
                      <a:avLst/>
                    </a:prstGeom>
                  </pic:spPr>
                </pic:pic>
              </a:graphicData>
            </a:graphic>
          </wp:inline>
        </w:drawing>
      </w:r>
    </w:p>
    <w:p w14:paraId="4260ED9C" w14:textId="7C105667" w:rsidR="005B77F6" w:rsidRDefault="00B066DA" w:rsidP="003241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280528">
        <w:rPr>
          <w:rFonts w:ascii="Times New Roman" w:hAnsi="Times New Roman" w:cs="Times New Roman"/>
          <w:sz w:val="24"/>
          <w:szCs w:val="24"/>
        </w:rPr>
        <w:t xml:space="preserve">Since physical characteristics play a role in health-related risks, it is important to examine the relationship between the features related to physical traits and the target variable. </w:t>
      </w:r>
      <w:r w:rsidR="00EF6B90">
        <w:rPr>
          <w:rFonts w:ascii="Times New Roman" w:hAnsi="Times New Roman" w:cs="Times New Roman"/>
          <w:sz w:val="24"/>
          <w:szCs w:val="24"/>
        </w:rPr>
        <w:t xml:space="preserve">For example, age </w:t>
      </w:r>
      <w:r w:rsidR="005663AD">
        <w:rPr>
          <w:rFonts w:ascii="Times New Roman" w:hAnsi="Times New Roman" w:cs="Times New Roman"/>
          <w:sz w:val="24"/>
          <w:szCs w:val="24"/>
        </w:rPr>
        <w:t xml:space="preserve">can play a significant role in recovery time, illness severity, and general health quality. </w:t>
      </w:r>
      <w:r w:rsidR="00D2011E">
        <w:rPr>
          <w:rFonts w:ascii="Times New Roman" w:hAnsi="Times New Roman" w:cs="Times New Roman"/>
          <w:sz w:val="24"/>
          <w:szCs w:val="24"/>
        </w:rPr>
        <w:t xml:space="preserve">Figure 3 shows the histogram for age in the data set, colored by the response variable for each bin, and a boxplot. </w:t>
      </w:r>
      <w:r w:rsidR="00D41BF8">
        <w:rPr>
          <w:rFonts w:ascii="Times New Roman" w:hAnsi="Times New Roman" w:cs="Times New Roman"/>
          <w:sz w:val="24"/>
          <w:szCs w:val="24"/>
        </w:rPr>
        <w:t xml:space="preserve">Both the histogram and boxplot show that most of the data lies around the age range of 50 to 75. The data is skewed left; thus, the results from this study may be slightly more applicable to those in that age range, as those outside the age range are not as highly represented. </w:t>
      </w:r>
      <w:r w:rsidR="00866718">
        <w:rPr>
          <w:rFonts w:ascii="Times New Roman" w:hAnsi="Times New Roman" w:cs="Times New Roman"/>
          <w:sz w:val="24"/>
          <w:szCs w:val="24"/>
        </w:rPr>
        <w:t xml:space="preserve">From a logical perspective, this distribution of data makes sense, it is not commonly expected that those in a younger age range would be hospitalized. </w:t>
      </w:r>
      <w:r w:rsidR="00906588">
        <w:rPr>
          <w:rFonts w:ascii="Times New Roman" w:hAnsi="Times New Roman" w:cs="Times New Roman"/>
          <w:sz w:val="24"/>
          <w:szCs w:val="24"/>
        </w:rPr>
        <w:t>Where the histogram shows that the data is skewed left, the boxplot reveals four outliers on the lower end of the distribution</w:t>
      </w:r>
      <w:r w:rsidR="00174BE8">
        <w:rPr>
          <w:rFonts w:ascii="Times New Roman" w:hAnsi="Times New Roman" w:cs="Times New Roman"/>
          <w:sz w:val="24"/>
          <w:szCs w:val="24"/>
        </w:rPr>
        <w:t>.</w:t>
      </w:r>
      <w:r w:rsidR="00866718">
        <w:rPr>
          <w:rFonts w:ascii="Times New Roman" w:hAnsi="Times New Roman" w:cs="Times New Roman"/>
          <w:sz w:val="24"/>
          <w:szCs w:val="24"/>
        </w:rPr>
        <w:t xml:space="preserve"> </w:t>
      </w:r>
      <w:r w:rsidR="00352C75">
        <w:rPr>
          <w:rFonts w:ascii="Times New Roman" w:hAnsi="Times New Roman" w:cs="Times New Roman"/>
          <w:sz w:val="24"/>
          <w:szCs w:val="24"/>
        </w:rPr>
        <w:t>While uncommon, there may be instances where a patient falls in the same age range as the outlier points. Therefore, the outliers were not removed from the data set</w:t>
      </w:r>
      <w:r w:rsidR="002D7841">
        <w:rPr>
          <w:rFonts w:ascii="Times New Roman" w:hAnsi="Times New Roman" w:cs="Times New Roman"/>
          <w:sz w:val="24"/>
          <w:szCs w:val="24"/>
        </w:rPr>
        <w:t>.</w:t>
      </w:r>
    </w:p>
    <w:p w14:paraId="19CF94D2" w14:textId="16E664DC" w:rsidR="002D7841" w:rsidRDefault="002D7841" w:rsidP="0032411F">
      <w:pPr>
        <w:spacing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1FB8192D" w14:textId="0821E3AA" w:rsidR="002D7841" w:rsidRPr="002D7841" w:rsidRDefault="002D7841" w:rsidP="0032411F">
      <w:pPr>
        <w:spacing w:line="480" w:lineRule="auto"/>
        <w:rPr>
          <w:rFonts w:ascii="Times New Roman" w:hAnsi="Times New Roman" w:cs="Times New Roman"/>
          <w:sz w:val="24"/>
          <w:szCs w:val="24"/>
        </w:rPr>
      </w:pPr>
      <w:r>
        <w:rPr>
          <w:rFonts w:ascii="Times New Roman" w:hAnsi="Times New Roman" w:cs="Times New Roman"/>
          <w:i/>
          <w:iCs/>
          <w:sz w:val="24"/>
          <w:szCs w:val="24"/>
        </w:rPr>
        <w:t>Distribution of Age</w:t>
      </w:r>
    </w:p>
    <w:p w14:paraId="599F75D8" w14:textId="3B5C12FE" w:rsidR="00AB1C1F" w:rsidRDefault="00AB1C1F" w:rsidP="0032411F">
      <w:pPr>
        <w:spacing w:line="480" w:lineRule="auto"/>
        <w:rPr>
          <w:rFonts w:ascii="Times New Roman" w:hAnsi="Times New Roman" w:cs="Times New Roman"/>
          <w:sz w:val="24"/>
          <w:szCs w:val="24"/>
        </w:rPr>
      </w:pPr>
      <w:r w:rsidRPr="00AB1C1F">
        <w:rPr>
          <w:noProof/>
        </w:rPr>
        <w:drawing>
          <wp:inline distT="0" distB="0" distL="0" distR="0" wp14:anchorId="78705A16" wp14:editId="301F8D24">
            <wp:extent cx="4667619" cy="2880360"/>
            <wp:effectExtent l="0" t="0" r="0" b="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0"/>
                    <a:stretch>
                      <a:fillRect/>
                    </a:stretch>
                  </pic:blipFill>
                  <pic:spPr>
                    <a:xfrm>
                      <a:off x="0" y="0"/>
                      <a:ext cx="4667619" cy="2880360"/>
                    </a:xfrm>
                    <a:prstGeom prst="rect">
                      <a:avLst/>
                    </a:prstGeom>
                  </pic:spPr>
                </pic:pic>
              </a:graphicData>
            </a:graphic>
          </wp:inline>
        </w:drawing>
      </w:r>
    </w:p>
    <w:p w14:paraId="4C8AB4CC" w14:textId="238E72F4" w:rsidR="00005AD9" w:rsidRDefault="00CB454F" w:rsidP="003241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005AD9">
        <w:rPr>
          <w:rFonts w:ascii="Times New Roman" w:hAnsi="Times New Roman" w:cs="Times New Roman"/>
          <w:sz w:val="24"/>
          <w:szCs w:val="24"/>
        </w:rPr>
        <w:t>Like age, height and weight are also physical traits that are used to measure the general health of a patient</w:t>
      </w:r>
      <w:r w:rsidR="008F3F8D">
        <w:rPr>
          <w:rFonts w:ascii="Times New Roman" w:hAnsi="Times New Roman" w:cs="Times New Roman"/>
          <w:sz w:val="24"/>
          <w:szCs w:val="24"/>
        </w:rPr>
        <w:t>. While there are some exceptions</w:t>
      </w:r>
      <w:r w:rsidR="00A50F18">
        <w:rPr>
          <w:rFonts w:ascii="Times New Roman" w:hAnsi="Times New Roman" w:cs="Times New Roman"/>
          <w:sz w:val="24"/>
          <w:szCs w:val="24"/>
        </w:rPr>
        <w:t xml:space="preserve"> based on muscle mass and other factors</w:t>
      </w:r>
      <w:r w:rsidR="008F3F8D">
        <w:rPr>
          <w:rFonts w:ascii="Times New Roman" w:hAnsi="Times New Roman" w:cs="Times New Roman"/>
          <w:sz w:val="24"/>
          <w:szCs w:val="24"/>
        </w:rPr>
        <w:t xml:space="preserve">, in general, </w:t>
      </w:r>
      <w:r w:rsidR="002D3D68">
        <w:rPr>
          <w:rFonts w:ascii="Times New Roman" w:hAnsi="Times New Roman" w:cs="Times New Roman"/>
          <w:sz w:val="24"/>
          <w:szCs w:val="24"/>
        </w:rPr>
        <w:t xml:space="preserve">the weight of an individual can indicate their health status based on their height. </w:t>
      </w:r>
      <w:r w:rsidR="00CE5290">
        <w:rPr>
          <w:rFonts w:ascii="Times New Roman" w:hAnsi="Times New Roman" w:cs="Times New Roman"/>
          <w:sz w:val="24"/>
          <w:szCs w:val="24"/>
        </w:rPr>
        <w:t>Figure 4 shows a scatterplot, colored by the target variable, of the relationship between height and weight in the data set. Typically, an individual that is determined to be unhealthy is either heavier set and shorter or taller and lighter in weight. If this relationship had a confounding effect on the data, it is expected that the points representing death follow a diagonal line, with a negative slope. However, the plot shows that instances where the patient had died are randomly scattered throughout the plot. Thus, the relationship between height and weight, described above, does not influence the data set. Figures in the appendix show the individual distributions of height and weight</w:t>
      </w:r>
      <w:r w:rsidR="00B632CB">
        <w:rPr>
          <w:rFonts w:ascii="Times New Roman" w:hAnsi="Times New Roman" w:cs="Times New Roman"/>
          <w:sz w:val="24"/>
          <w:szCs w:val="24"/>
        </w:rPr>
        <w:t>, with their relationship to the target variable.</w:t>
      </w:r>
    </w:p>
    <w:p w14:paraId="2ADCBF0D" w14:textId="062A6CED" w:rsidR="000E2EB2" w:rsidRDefault="000E2EB2" w:rsidP="0032411F">
      <w:pPr>
        <w:spacing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24A16F74" w14:textId="0DB2B00F" w:rsidR="000E2EB2" w:rsidRPr="000E2EB2" w:rsidRDefault="000E2EB2" w:rsidP="0032411F">
      <w:pPr>
        <w:spacing w:line="480" w:lineRule="auto"/>
        <w:rPr>
          <w:rFonts w:ascii="Times New Roman" w:hAnsi="Times New Roman" w:cs="Times New Roman"/>
          <w:sz w:val="24"/>
          <w:szCs w:val="24"/>
        </w:rPr>
      </w:pPr>
      <w:r>
        <w:rPr>
          <w:rFonts w:ascii="Times New Roman" w:hAnsi="Times New Roman" w:cs="Times New Roman"/>
          <w:i/>
          <w:iCs/>
          <w:sz w:val="24"/>
          <w:szCs w:val="24"/>
        </w:rPr>
        <w:t>Scatterplot of Height and Weight By the Target Feature</w:t>
      </w:r>
    </w:p>
    <w:p w14:paraId="35DE4362" w14:textId="1B18EE8B" w:rsidR="00005AD9" w:rsidRDefault="00A50F18" w:rsidP="0032411F">
      <w:pPr>
        <w:spacing w:line="480" w:lineRule="auto"/>
        <w:rPr>
          <w:rFonts w:ascii="Times New Roman" w:hAnsi="Times New Roman" w:cs="Times New Roman"/>
          <w:sz w:val="24"/>
          <w:szCs w:val="24"/>
        </w:rPr>
      </w:pPr>
      <w:r w:rsidRPr="00536220">
        <w:rPr>
          <w:noProof/>
        </w:rPr>
        <w:drawing>
          <wp:inline distT="0" distB="0" distL="0" distR="0" wp14:anchorId="15C86A9A" wp14:editId="44AE4EAB">
            <wp:extent cx="4943192" cy="3050414"/>
            <wp:effectExtent l="0" t="0" r="0" b="0"/>
            <wp:docPr id="8" name="Picture 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scatter chart&#10;&#10;Description automatically generated"/>
                    <pic:cNvPicPr/>
                  </pic:nvPicPr>
                  <pic:blipFill>
                    <a:blip r:embed="rId11"/>
                    <a:stretch>
                      <a:fillRect/>
                    </a:stretch>
                  </pic:blipFill>
                  <pic:spPr>
                    <a:xfrm>
                      <a:off x="0" y="0"/>
                      <a:ext cx="4947834" cy="3053278"/>
                    </a:xfrm>
                    <a:prstGeom prst="rect">
                      <a:avLst/>
                    </a:prstGeom>
                  </pic:spPr>
                </pic:pic>
              </a:graphicData>
            </a:graphic>
          </wp:inline>
        </w:drawing>
      </w:r>
    </w:p>
    <w:p w14:paraId="2683FBBA" w14:textId="2894861B" w:rsidR="000E2EB2" w:rsidRDefault="000E2EB2" w:rsidP="0032411F">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r>
      <w:r w:rsidR="00192D01">
        <w:rPr>
          <w:rFonts w:ascii="Times New Roman" w:hAnsi="Times New Roman" w:cs="Times New Roman"/>
          <w:sz w:val="24"/>
          <w:szCs w:val="24"/>
        </w:rPr>
        <w:t>One aspect to health is the patient’s ethnic background. It is known that ethnicity, and therefore genetics, can lead to an inherent predisposition for illnesses and immunity.</w:t>
      </w:r>
      <w:r w:rsidR="005A6035">
        <w:rPr>
          <w:rFonts w:ascii="Times New Roman" w:hAnsi="Times New Roman" w:cs="Times New Roman"/>
          <w:sz w:val="24"/>
          <w:szCs w:val="24"/>
        </w:rPr>
        <w:t xml:space="preserve"> Thus, when examining the demographics of patients in the data set, it is key to also study the relationship between ethnicity and the target feature. Figure 5 shows two sets of bar charts. On the left, there is a bar chart of frequency for each category in the variable, ethnicity. On the right, the normalized shows the proportion of the target variable by each category in the predictor. </w:t>
      </w:r>
      <w:r w:rsidR="002648B1">
        <w:rPr>
          <w:rFonts w:ascii="Times New Roman" w:hAnsi="Times New Roman" w:cs="Times New Roman"/>
          <w:sz w:val="24"/>
          <w:szCs w:val="24"/>
        </w:rPr>
        <w:t xml:space="preserve">The plots reveal that the majority of data is represented by Caucasians. </w:t>
      </w:r>
      <w:r w:rsidR="00FF1430">
        <w:rPr>
          <w:rFonts w:ascii="Times New Roman" w:hAnsi="Times New Roman" w:cs="Times New Roman"/>
          <w:sz w:val="24"/>
          <w:szCs w:val="24"/>
        </w:rPr>
        <w:t>While the difference</w:t>
      </w:r>
      <w:r w:rsidR="006873C4">
        <w:rPr>
          <w:rFonts w:ascii="Times New Roman" w:hAnsi="Times New Roman" w:cs="Times New Roman"/>
          <w:sz w:val="24"/>
          <w:szCs w:val="24"/>
        </w:rPr>
        <w:t>s</w:t>
      </w:r>
      <w:r w:rsidR="00FF1430">
        <w:rPr>
          <w:rFonts w:ascii="Times New Roman" w:hAnsi="Times New Roman" w:cs="Times New Roman"/>
          <w:sz w:val="24"/>
          <w:szCs w:val="24"/>
        </w:rPr>
        <w:t xml:space="preserve"> in total count of each ethnicity may lead to some selective biases, the proportion of death and non-death instances are roughly the same across ethnic classes.  </w:t>
      </w:r>
      <w:r w:rsidR="006873C4">
        <w:rPr>
          <w:rFonts w:ascii="Times New Roman" w:hAnsi="Times New Roman" w:cs="Times New Roman"/>
          <w:sz w:val="24"/>
          <w:szCs w:val="24"/>
        </w:rPr>
        <w:t>Thus, there is limited influence by ethnicity on mortality rate, as the probability of death is approximately equal by each ethic class.</w:t>
      </w:r>
    </w:p>
    <w:p w14:paraId="64E96F3B" w14:textId="35A09DF7" w:rsidR="006873C4" w:rsidRDefault="006873C4" w:rsidP="0032411F">
      <w:pPr>
        <w:spacing w:line="480" w:lineRule="auto"/>
        <w:rPr>
          <w:rFonts w:ascii="Times New Roman" w:hAnsi="Times New Roman" w:cs="Times New Roman"/>
          <w:sz w:val="24"/>
          <w:szCs w:val="24"/>
        </w:rPr>
      </w:pPr>
      <w:r>
        <w:rPr>
          <w:rFonts w:ascii="Times New Roman" w:hAnsi="Times New Roman" w:cs="Times New Roman"/>
          <w:b/>
          <w:bCs/>
          <w:sz w:val="24"/>
          <w:szCs w:val="24"/>
        </w:rPr>
        <w:t>Figure 5</w:t>
      </w:r>
    </w:p>
    <w:p w14:paraId="6DD8E4D8" w14:textId="4EF7CB5F" w:rsidR="006873C4" w:rsidRPr="006873C4" w:rsidRDefault="006873C4" w:rsidP="0032411F">
      <w:pPr>
        <w:spacing w:line="480" w:lineRule="auto"/>
        <w:rPr>
          <w:rFonts w:ascii="Times New Roman" w:hAnsi="Times New Roman" w:cs="Times New Roman"/>
          <w:i/>
          <w:iCs/>
          <w:sz w:val="24"/>
          <w:szCs w:val="24"/>
        </w:rPr>
      </w:pPr>
      <w:r>
        <w:rPr>
          <w:rFonts w:ascii="Times New Roman" w:hAnsi="Times New Roman" w:cs="Times New Roman"/>
          <w:i/>
          <w:iCs/>
          <w:sz w:val="24"/>
          <w:szCs w:val="24"/>
        </w:rPr>
        <w:t>Bar Charts of Ethnicity</w:t>
      </w:r>
    </w:p>
    <w:p w14:paraId="0718B161" w14:textId="674222BF" w:rsidR="00536220" w:rsidRPr="0032411F" w:rsidRDefault="00536220" w:rsidP="0032411F">
      <w:pPr>
        <w:spacing w:line="480" w:lineRule="auto"/>
        <w:rPr>
          <w:rFonts w:ascii="Times New Roman" w:hAnsi="Times New Roman" w:cs="Times New Roman"/>
          <w:sz w:val="24"/>
          <w:szCs w:val="24"/>
        </w:rPr>
      </w:pPr>
      <w:r w:rsidRPr="00536220">
        <w:rPr>
          <w:noProof/>
        </w:rPr>
        <w:drawing>
          <wp:inline distT="0" distB="0" distL="0" distR="0" wp14:anchorId="7DF70C99" wp14:editId="19470764">
            <wp:extent cx="5943600" cy="3667760"/>
            <wp:effectExtent l="0" t="0" r="0" b="8890"/>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2"/>
                    <a:stretch>
                      <a:fillRect/>
                    </a:stretch>
                  </pic:blipFill>
                  <pic:spPr>
                    <a:xfrm>
                      <a:off x="0" y="0"/>
                      <a:ext cx="5943600" cy="3667760"/>
                    </a:xfrm>
                    <a:prstGeom prst="rect">
                      <a:avLst/>
                    </a:prstGeom>
                  </pic:spPr>
                </pic:pic>
              </a:graphicData>
            </a:graphic>
          </wp:inline>
        </w:drawing>
      </w:r>
    </w:p>
    <w:p w14:paraId="39FB26FD" w14:textId="77777777" w:rsidR="00AA0DA9" w:rsidRPr="005E71EC" w:rsidRDefault="00AA0DA9" w:rsidP="005E71EC">
      <w:pPr>
        <w:spacing w:line="480" w:lineRule="auto"/>
        <w:rPr>
          <w:rFonts w:ascii="Times New Roman" w:hAnsi="Times New Roman" w:cs="Times New Roman"/>
          <w:sz w:val="24"/>
          <w:szCs w:val="24"/>
        </w:rPr>
      </w:pPr>
      <w:r w:rsidRPr="005E71EC">
        <w:rPr>
          <w:rFonts w:ascii="Times New Roman" w:hAnsi="Times New Roman" w:cs="Times New Roman"/>
          <w:sz w:val="24"/>
          <w:szCs w:val="24"/>
        </w:rPr>
        <w:lastRenderedPageBreak/>
        <w:t>Data wrangling and pre-processing (handling of missing values, outliers, correlated features, etc.)</w:t>
      </w:r>
    </w:p>
    <w:p w14:paraId="73139C89" w14:textId="77777777" w:rsidR="00AA0DA9" w:rsidRPr="00AA0DA9" w:rsidRDefault="00AA0DA9" w:rsidP="00AA0DA9">
      <w:pPr>
        <w:pStyle w:val="ListParagraph"/>
        <w:numPr>
          <w:ilvl w:val="0"/>
          <w:numId w:val="1"/>
        </w:numPr>
        <w:spacing w:line="480" w:lineRule="auto"/>
        <w:rPr>
          <w:rFonts w:ascii="Times New Roman" w:hAnsi="Times New Roman" w:cs="Times New Roman"/>
          <w:sz w:val="24"/>
          <w:szCs w:val="24"/>
        </w:rPr>
      </w:pPr>
      <w:r w:rsidRPr="00AA0DA9">
        <w:rPr>
          <w:rFonts w:ascii="Times New Roman" w:hAnsi="Times New Roman" w:cs="Times New Roman"/>
          <w:sz w:val="24"/>
          <w:szCs w:val="24"/>
        </w:rPr>
        <w:t>Data splitting (training, validation, and test sets)</w:t>
      </w:r>
    </w:p>
    <w:p w14:paraId="526931CC" w14:textId="77777777" w:rsidR="00AA0DA9" w:rsidRPr="00AA0DA9" w:rsidRDefault="00AA0DA9" w:rsidP="00AA0DA9">
      <w:pPr>
        <w:pStyle w:val="ListParagraph"/>
        <w:numPr>
          <w:ilvl w:val="0"/>
          <w:numId w:val="1"/>
        </w:numPr>
        <w:spacing w:line="480" w:lineRule="auto"/>
        <w:rPr>
          <w:rFonts w:ascii="Times New Roman" w:hAnsi="Times New Roman" w:cs="Times New Roman"/>
          <w:sz w:val="24"/>
          <w:szCs w:val="24"/>
        </w:rPr>
      </w:pPr>
      <w:r w:rsidRPr="00AA0DA9">
        <w:rPr>
          <w:rFonts w:ascii="Times New Roman" w:hAnsi="Times New Roman" w:cs="Times New Roman"/>
          <w:sz w:val="24"/>
          <w:szCs w:val="24"/>
        </w:rPr>
        <w:t>Model strategies (describing main research questions and appropriate analytics methods)</w:t>
      </w:r>
    </w:p>
    <w:p w14:paraId="28A84D08" w14:textId="77777777" w:rsidR="00AA0DA9" w:rsidRPr="00AA0DA9" w:rsidRDefault="00AA0DA9" w:rsidP="00AA0DA9">
      <w:pPr>
        <w:pStyle w:val="ListParagraph"/>
        <w:numPr>
          <w:ilvl w:val="0"/>
          <w:numId w:val="1"/>
        </w:numPr>
        <w:spacing w:line="480" w:lineRule="auto"/>
        <w:rPr>
          <w:rFonts w:ascii="Times New Roman" w:hAnsi="Times New Roman" w:cs="Times New Roman"/>
          <w:sz w:val="24"/>
          <w:szCs w:val="24"/>
        </w:rPr>
      </w:pPr>
      <w:r w:rsidRPr="00AA0DA9">
        <w:rPr>
          <w:rFonts w:ascii="Times New Roman" w:hAnsi="Times New Roman" w:cs="Times New Roman"/>
          <w:sz w:val="24"/>
          <w:szCs w:val="24"/>
        </w:rPr>
        <w:t>Validation and testing (model tuning and evaluation)</w:t>
      </w:r>
    </w:p>
    <w:p w14:paraId="5B9FF14A" w14:textId="77777777" w:rsidR="00AA0DA9" w:rsidRPr="00AA0DA9" w:rsidRDefault="00AA0DA9" w:rsidP="00AA0DA9">
      <w:pPr>
        <w:pStyle w:val="ListParagraph"/>
        <w:numPr>
          <w:ilvl w:val="0"/>
          <w:numId w:val="1"/>
        </w:numPr>
        <w:spacing w:line="480" w:lineRule="auto"/>
        <w:rPr>
          <w:rFonts w:ascii="Times New Roman" w:hAnsi="Times New Roman" w:cs="Times New Roman"/>
          <w:sz w:val="24"/>
          <w:szCs w:val="24"/>
        </w:rPr>
      </w:pPr>
      <w:r w:rsidRPr="00AA0DA9">
        <w:rPr>
          <w:rFonts w:ascii="Times New Roman" w:hAnsi="Times New Roman" w:cs="Times New Roman"/>
          <w:sz w:val="24"/>
          <w:szCs w:val="24"/>
        </w:rPr>
        <w:t>Results and final model selection (performance measures, etc.)</w:t>
      </w:r>
    </w:p>
    <w:p w14:paraId="21F8855E" w14:textId="0ACC6BF3" w:rsidR="00AA0DA9" w:rsidRDefault="00AA0DA9" w:rsidP="00AA0DA9">
      <w:pPr>
        <w:pStyle w:val="ListParagraph"/>
        <w:numPr>
          <w:ilvl w:val="0"/>
          <w:numId w:val="1"/>
        </w:numPr>
        <w:spacing w:line="480" w:lineRule="auto"/>
        <w:rPr>
          <w:rFonts w:ascii="Times New Roman" w:hAnsi="Times New Roman" w:cs="Times New Roman"/>
          <w:sz w:val="24"/>
          <w:szCs w:val="24"/>
        </w:rPr>
      </w:pPr>
      <w:r w:rsidRPr="00AA0DA9">
        <w:rPr>
          <w:rFonts w:ascii="Times New Roman" w:hAnsi="Times New Roman" w:cs="Times New Roman"/>
          <w:sz w:val="24"/>
          <w:szCs w:val="24"/>
        </w:rPr>
        <w:t>Discussion and conclusions (address the problem statement and suggestions/solutions could go beyond the scope of the course)</w:t>
      </w:r>
    </w:p>
    <w:p w14:paraId="5F55F39C" w14:textId="3AF508A4" w:rsidR="00163313" w:rsidRPr="006008BD" w:rsidRDefault="00163313" w:rsidP="00163313">
      <w:pPr>
        <w:spacing w:line="480" w:lineRule="auto"/>
        <w:ind w:left="360"/>
        <w:jc w:val="center"/>
        <w:rPr>
          <w:rFonts w:ascii="Times New Roman" w:hAnsi="Times New Roman" w:cs="Times New Roman"/>
          <w:sz w:val="24"/>
          <w:szCs w:val="24"/>
        </w:rPr>
      </w:pPr>
      <w:r>
        <w:rPr>
          <w:rFonts w:ascii="Times New Roman" w:hAnsi="Times New Roman" w:cs="Times New Roman"/>
          <w:b/>
          <w:bCs/>
          <w:sz w:val="24"/>
          <w:szCs w:val="24"/>
        </w:rPr>
        <w:t>References</w:t>
      </w:r>
    </w:p>
    <w:p w14:paraId="6559538B" w14:textId="513D0DFB" w:rsidR="00163313" w:rsidRDefault="00163313" w:rsidP="00163313">
      <w:pPr>
        <w:spacing w:line="480" w:lineRule="auto"/>
        <w:ind w:left="1080" w:hanging="720"/>
        <w:rPr>
          <w:rFonts w:ascii="Times New Roman" w:hAnsi="Times New Roman" w:cs="Times New Roman"/>
          <w:sz w:val="24"/>
          <w:szCs w:val="24"/>
        </w:rPr>
      </w:pPr>
      <w:r w:rsidRPr="00163313">
        <w:rPr>
          <w:rFonts w:ascii="Times New Roman" w:hAnsi="Times New Roman" w:cs="Times New Roman"/>
          <w:sz w:val="24"/>
          <w:szCs w:val="24"/>
        </w:rPr>
        <w:t xml:space="preserve">Green, J., </w:t>
      </w:r>
      <w:proofErr w:type="spellStart"/>
      <w:r w:rsidRPr="00163313">
        <w:rPr>
          <w:rFonts w:ascii="Times New Roman" w:hAnsi="Times New Roman" w:cs="Times New Roman"/>
          <w:sz w:val="24"/>
          <w:szCs w:val="24"/>
        </w:rPr>
        <w:t>Wintfeld</w:t>
      </w:r>
      <w:proofErr w:type="spellEnd"/>
      <w:r w:rsidRPr="00163313">
        <w:rPr>
          <w:rFonts w:ascii="Times New Roman" w:hAnsi="Times New Roman" w:cs="Times New Roman"/>
          <w:sz w:val="24"/>
          <w:szCs w:val="24"/>
        </w:rPr>
        <w:t xml:space="preserve">, N., Sharkey, P., &amp; Passman, L. J. (1990). The importance of severity of illness in assessing hospital mortality. </w:t>
      </w:r>
      <w:r w:rsidRPr="00163313">
        <w:rPr>
          <w:rFonts w:ascii="Times New Roman" w:hAnsi="Times New Roman" w:cs="Times New Roman"/>
          <w:i/>
          <w:iCs/>
          <w:sz w:val="24"/>
          <w:szCs w:val="24"/>
        </w:rPr>
        <w:t>JAMA, 263</w:t>
      </w:r>
      <w:r w:rsidRPr="00163313">
        <w:rPr>
          <w:rFonts w:ascii="Times New Roman" w:hAnsi="Times New Roman" w:cs="Times New Roman"/>
          <w:sz w:val="24"/>
          <w:szCs w:val="24"/>
        </w:rPr>
        <w:t>(2), 241-246.</w:t>
      </w:r>
    </w:p>
    <w:p w14:paraId="2E4E3246" w14:textId="55534DDE" w:rsidR="006008BD" w:rsidRDefault="006008BD" w:rsidP="00163313">
      <w:pPr>
        <w:spacing w:line="480" w:lineRule="auto"/>
        <w:ind w:left="1080" w:hanging="720"/>
        <w:rPr>
          <w:rFonts w:ascii="Times New Roman" w:hAnsi="Times New Roman" w:cs="Times New Roman"/>
          <w:sz w:val="24"/>
          <w:szCs w:val="24"/>
        </w:rPr>
      </w:pPr>
      <w:r w:rsidRPr="006008BD">
        <w:rPr>
          <w:rFonts w:ascii="Times New Roman" w:hAnsi="Times New Roman" w:cs="Times New Roman"/>
          <w:sz w:val="24"/>
          <w:szCs w:val="24"/>
        </w:rPr>
        <w:t xml:space="preserve">Hsu, C. W., </w:t>
      </w:r>
      <w:proofErr w:type="spellStart"/>
      <w:r w:rsidRPr="006008BD">
        <w:rPr>
          <w:rFonts w:ascii="Times New Roman" w:hAnsi="Times New Roman" w:cs="Times New Roman"/>
          <w:sz w:val="24"/>
          <w:szCs w:val="24"/>
        </w:rPr>
        <w:t>Wann</w:t>
      </w:r>
      <w:proofErr w:type="spellEnd"/>
      <w:r w:rsidRPr="006008BD">
        <w:rPr>
          <w:rFonts w:ascii="Times New Roman" w:hAnsi="Times New Roman" w:cs="Times New Roman"/>
          <w:sz w:val="24"/>
          <w:szCs w:val="24"/>
        </w:rPr>
        <w:t xml:space="preserve">, S. R., Chiang, H. T., Lin, C. H., Kung, M. H., &amp; Lin, S. L. (2001). Comparison of the APACHE II and APACHE III scoring systems in patients with respiratory failure in a medical intensive care unit. </w:t>
      </w:r>
      <w:r w:rsidRPr="006008BD">
        <w:rPr>
          <w:rFonts w:ascii="Times New Roman" w:hAnsi="Times New Roman" w:cs="Times New Roman"/>
          <w:i/>
          <w:iCs/>
          <w:sz w:val="24"/>
          <w:szCs w:val="24"/>
        </w:rPr>
        <w:t>Journal of the Formosan Medical Association, 100</w:t>
      </w:r>
      <w:r w:rsidRPr="006008BD">
        <w:rPr>
          <w:rFonts w:ascii="Times New Roman" w:hAnsi="Times New Roman" w:cs="Times New Roman"/>
          <w:sz w:val="24"/>
          <w:szCs w:val="24"/>
        </w:rPr>
        <w:t>(7), 437-442.</w:t>
      </w:r>
    </w:p>
    <w:p w14:paraId="5BF30FC1" w14:textId="19A6EA30" w:rsidR="006D2E06" w:rsidRDefault="006D2E06" w:rsidP="00163313">
      <w:pPr>
        <w:spacing w:line="480" w:lineRule="auto"/>
        <w:ind w:left="1080" w:hanging="720"/>
        <w:rPr>
          <w:rFonts w:ascii="Times New Roman" w:hAnsi="Times New Roman" w:cs="Times New Roman"/>
          <w:sz w:val="24"/>
          <w:szCs w:val="24"/>
        </w:rPr>
      </w:pPr>
      <w:r w:rsidRPr="006D2E06">
        <w:rPr>
          <w:rFonts w:ascii="Times New Roman" w:hAnsi="Times New Roman" w:cs="Times New Roman"/>
          <w:sz w:val="24"/>
          <w:szCs w:val="24"/>
        </w:rPr>
        <w:t xml:space="preserve">Pourhomayoun, M., &amp; Shakibi, M. (2021). Predicting mortality risk in patients with COVID-19 using machine learning to help medical decision-making. </w:t>
      </w:r>
      <w:r w:rsidRPr="006D2E06">
        <w:rPr>
          <w:rFonts w:ascii="Times New Roman" w:hAnsi="Times New Roman" w:cs="Times New Roman"/>
          <w:i/>
          <w:iCs/>
          <w:sz w:val="24"/>
          <w:szCs w:val="24"/>
        </w:rPr>
        <w:t>Smart Health, 20</w:t>
      </w:r>
      <w:r w:rsidRPr="006D2E06">
        <w:rPr>
          <w:rFonts w:ascii="Times New Roman" w:hAnsi="Times New Roman" w:cs="Times New Roman"/>
          <w:sz w:val="24"/>
          <w:szCs w:val="24"/>
        </w:rPr>
        <w:t>, 100178.</w:t>
      </w:r>
    </w:p>
    <w:p w14:paraId="1EE8611A" w14:textId="00EA397E" w:rsidR="004010F2" w:rsidRPr="00163313" w:rsidRDefault="004010F2" w:rsidP="00163313">
      <w:pPr>
        <w:spacing w:line="480" w:lineRule="auto"/>
        <w:ind w:left="1080" w:hanging="720"/>
        <w:rPr>
          <w:rFonts w:ascii="Times New Roman" w:hAnsi="Times New Roman" w:cs="Times New Roman"/>
          <w:sz w:val="24"/>
          <w:szCs w:val="24"/>
        </w:rPr>
      </w:pPr>
      <w:r w:rsidRPr="004010F2">
        <w:rPr>
          <w:rFonts w:ascii="Times New Roman" w:hAnsi="Times New Roman" w:cs="Times New Roman"/>
          <w:sz w:val="24"/>
          <w:szCs w:val="24"/>
        </w:rPr>
        <w:t xml:space="preserve">Steele, A. J., </w:t>
      </w:r>
      <w:proofErr w:type="spellStart"/>
      <w:r w:rsidRPr="004010F2">
        <w:rPr>
          <w:rFonts w:ascii="Times New Roman" w:hAnsi="Times New Roman" w:cs="Times New Roman"/>
          <w:sz w:val="24"/>
          <w:szCs w:val="24"/>
        </w:rPr>
        <w:t>Denaxas</w:t>
      </w:r>
      <w:proofErr w:type="spellEnd"/>
      <w:r w:rsidRPr="004010F2">
        <w:rPr>
          <w:rFonts w:ascii="Times New Roman" w:hAnsi="Times New Roman" w:cs="Times New Roman"/>
          <w:sz w:val="24"/>
          <w:szCs w:val="24"/>
        </w:rPr>
        <w:t xml:space="preserve">, S. C., Shah, A. D., Hemingway, H., &amp; Luscombe, N. M. (2018). Machine learning models in electronic health records can outperform conventional survival models for predicting patient mortality in coronary artery disease. </w:t>
      </w:r>
      <w:proofErr w:type="spellStart"/>
      <w:r w:rsidRPr="004010F2">
        <w:rPr>
          <w:rFonts w:ascii="Times New Roman" w:hAnsi="Times New Roman" w:cs="Times New Roman"/>
          <w:i/>
          <w:iCs/>
          <w:sz w:val="24"/>
          <w:szCs w:val="24"/>
        </w:rPr>
        <w:t>PloS</w:t>
      </w:r>
      <w:proofErr w:type="spellEnd"/>
      <w:r w:rsidRPr="004010F2">
        <w:rPr>
          <w:rFonts w:ascii="Times New Roman" w:hAnsi="Times New Roman" w:cs="Times New Roman"/>
          <w:i/>
          <w:iCs/>
          <w:sz w:val="24"/>
          <w:szCs w:val="24"/>
        </w:rPr>
        <w:t xml:space="preserve"> one, 13</w:t>
      </w:r>
      <w:r w:rsidRPr="004010F2">
        <w:rPr>
          <w:rFonts w:ascii="Times New Roman" w:hAnsi="Times New Roman" w:cs="Times New Roman"/>
          <w:sz w:val="24"/>
          <w:szCs w:val="24"/>
        </w:rPr>
        <w:t>(8), e0202344.</w:t>
      </w:r>
    </w:p>
    <w:p w14:paraId="182D955D" w14:textId="4BB89219" w:rsidR="00AA0DA9" w:rsidRDefault="00AA0DA9" w:rsidP="00AA0DA9">
      <w:pPr>
        <w:pStyle w:val="ListParagraph"/>
        <w:numPr>
          <w:ilvl w:val="0"/>
          <w:numId w:val="1"/>
        </w:numPr>
        <w:spacing w:line="480" w:lineRule="auto"/>
        <w:rPr>
          <w:rFonts w:ascii="Times New Roman" w:hAnsi="Times New Roman" w:cs="Times New Roman"/>
          <w:sz w:val="24"/>
          <w:szCs w:val="24"/>
        </w:rPr>
      </w:pPr>
      <w:r w:rsidRPr="00AA0DA9">
        <w:rPr>
          <w:rFonts w:ascii="Times New Roman" w:hAnsi="Times New Roman" w:cs="Times New Roman"/>
          <w:sz w:val="24"/>
          <w:szCs w:val="24"/>
        </w:rPr>
        <w:lastRenderedPageBreak/>
        <w:t>Appendix (reproducible and clean R code)</w:t>
      </w:r>
    </w:p>
    <w:p w14:paraId="02C9AFD0" w14:textId="2E9F7CFC" w:rsidR="006873C4" w:rsidRDefault="006873C4" w:rsidP="006873C4">
      <w:pPr>
        <w:spacing w:line="480" w:lineRule="auto"/>
        <w:ind w:left="360"/>
        <w:rPr>
          <w:rFonts w:ascii="Times New Roman" w:hAnsi="Times New Roman" w:cs="Times New Roman"/>
          <w:sz w:val="24"/>
          <w:szCs w:val="24"/>
        </w:rPr>
      </w:pPr>
      <w:r w:rsidRPr="00536220">
        <w:rPr>
          <w:noProof/>
        </w:rPr>
        <w:drawing>
          <wp:inline distT="0" distB="0" distL="0" distR="0" wp14:anchorId="411B41A7" wp14:editId="4B17A6CF">
            <wp:extent cx="5943600" cy="3667760"/>
            <wp:effectExtent l="0" t="0" r="0" b="8890"/>
            <wp:docPr id="6" name="Pictur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bar chart&#10;&#10;Description automatically generated"/>
                    <pic:cNvPicPr/>
                  </pic:nvPicPr>
                  <pic:blipFill>
                    <a:blip r:embed="rId13"/>
                    <a:stretch>
                      <a:fillRect/>
                    </a:stretch>
                  </pic:blipFill>
                  <pic:spPr>
                    <a:xfrm>
                      <a:off x="0" y="0"/>
                      <a:ext cx="5943600" cy="3667760"/>
                    </a:xfrm>
                    <a:prstGeom prst="rect">
                      <a:avLst/>
                    </a:prstGeom>
                  </pic:spPr>
                </pic:pic>
              </a:graphicData>
            </a:graphic>
          </wp:inline>
        </w:drawing>
      </w:r>
    </w:p>
    <w:p w14:paraId="378AACFC" w14:textId="485D2EA7" w:rsidR="006873C4" w:rsidRPr="006873C4" w:rsidRDefault="006873C4" w:rsidP="006873C4">
      <w:pPr>
        <w:spacing w:line="480" w:lineRule="auto"/>
        <w:ind w:left="360"/>
        <w:rPr>
          <w:rFonts w:ascii="Times New Roman" w:hAnsi="Times New Roman" w:cs="Times New Roman"/>
          <w:sz w:val="24"/>
          <w:szCs w:val="24"/>
        </w:rPr>
      </w:pPr>
      <w:r w:rsidRPr="00536220">
        <w:rPr>
          <w:noProof/>
        </w:rPr>
        <w:drawing>
          <wp:inline distT="0" distB="0" distL="0" distR="0" wp14:anchorId="39D3A857" wp14:editId="6268B6A6">
            <wp:extent cx="5943600" cy="3667760"/>
            <wp:effectExtent l="0" t="0" r="0" b="889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4"/>
                    <a:stretch>
                      <a:fillRect/>
                    </a:stretch>
                  </pic:blipFill>
                  <pic:spPr>
                    <a:xfrm>
                      <a:off x="0" y="0"/>
                      <a:ext cx="5943600" cy="3667760"/>
                    </a:xfrm>
                    <a:prstGeom prst="rect">
                      <a:avLst/>
                    </a:prstGeom>
                  </pic:spPr>
                </pic:pic>
              </a:graphicData>
            </a:graphic>
          </wp:inline>
        </w:drawing>
      </w:r>
    </w:p>
    <w:sectPr w:rsidR="006873C4" w:rsidRPr="006873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A6E0E" w14:textId="77777777" w:rsidR="001D7868" w:rsidRDefault="001D7868" w:rsidP="007C28A5">
      <w:pPr>
        <w:spacing w:after="0" w:line="240" w:lineRule="auto"/>
      </w:pPr>
      <w:r>
        <w:separator/>
      </w:r>
    </w:p>
  </w:endnote>
  <w:endnote w:type="continuationSeparator" w:id="0">
    <w:p w14:paraId="7779226C" w14:textId="77777777" w:rsidR="001D7868" w:rsidRDefault="001D7868" w:rsidP="007C28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14428C" w14:textId="77777777" w:rsidR="001D7868" w:rsidRDefault="001D7868" w:rsidP="007C28A5">
      <w:pPr>
        <w:spacing w:after="0" w:line="240" w:lineRule="auto"/>
      </w:pPr>
      <w:r>
        <w:separator/>
      </w:r>
    </w:p>
  </w:footnote>
  <w:footnote w:type="continuationSeparator" w:id="0">
    <w:p w14:paraId="15F098B5" w14:textId="77777777" w:rsidR="001D7868" w:rsidRDefault="001D7868" w:rsidP="007C28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322223"/>
      <w:docPartObj>
        <w:docPartGallery w:val="Page Numbers (Top of Page)"/>
        <w:docPartUnique/>
      </w:docPartObj>
    </w:sdtPr>
    <w:sdtEndPr>
      <w:rPr>
        <w:noProof/>
      </w:rPr>
    </w:sdtEndPr>
    <w:sdtContent>
      <w:p w14:paraId="7331A3DA" w14:textId="76F37E6F" w:rsidR="007C28A5" w:rsidRDefault="007C28A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D912D15" w14:textId="77777777" w:rsidR="007C28A5" w:rsidRDefault="007C28A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7D1238"/>
    <w:multiLevelType w:val="hybridMultilevel"/>
    <w:tmpl w:val="011CF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561523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59A0"/>
    <w:rsid w:val="00005AD9"/>
    <w:rsid w:val="00093EDE"/>
    <w:rsid w:val="000D68CE"/>
    <w:rsid w:val="000E2EB2"/>
    <w:rsid w:val="00163313"/>
    <w:rsid w:val="00174BE8"/>
    <w:rsid w:val="00192D01"/>
    <w:rsid w:val="001D7868"/>
    <w:rsid w:val="002648B1"/>
    <w:rsid w:val="00280528"/>
    <w:rsid w:val="002B12AE"/>
    <w:rsid w:val="002D3D68"/>
    <w:rsid w:val="002D7841"/>
    <w:rsid w:val="0032411F"/>
    <w:rsid w:val="00352C75"/>
    <w:rsid w:val="004010F2"/>
    <w:rsid w:val="00405BCF"/>
    <w:rsid w:val="00477A7F"/>
    <w:rsid w:val="00484D40"/>
    <w:rsid w:val="00487B18"/>
    <w:rsid w:val="004C69B6"/>
    <w:rsid w:val="00515445"/>
    <w:rsid w:val="00536220"/>
    <w:rsid w:val="005663AD"/>
    <w:rsid w:val="005A6035"/>
    <w:rsid w:val="005B77F6"/>
    <w:rsid w:val="005D3851"/>
    <w:rsid w:val="005E71EC"/>
    <w:rsid w:val="006008BD"/>
    <w:rsid w:val="006873C4"/>
    <w:rsid w:val="006959A0"/>
    <w:rsid w:val="006D2E06"/>
    <w:rsid w:val="006D3BB0"/>
    <w:rsid w:val="007026D7"/>
    <w:rsid w:val="0073612C"/>
    <w:rsid w:val="00752A58"/>
    <w:rsid w:val="00753050"/>
    <w:rsid w:val="007B0131"/>
    <w:rsid w:val="007C28A5"/>
    <w:rsid w:val="007C7A7E"/>
    <w:rsid w:val="008248BF"/>
    <w:rsid w:val="00866718"/>
    <w:rsid w:val="00892905"/>
    <w:rsid w:val="008F3F8D"/>
    <w:rsid w:val="00906588"/>
    <w:rsid w:val="00986A45"/>
    <w:rsid w:val="009F5F8D"/>
    <w:rsid w:val="00A50F18"/>
    <w:rsid w:val="00A7511E"/>
    <w:rsid w:val="00AA0DA9"/>
    <w:rsid w:val="00AB1C1F"/>
    <w:rsid w:val="00B066DA"/>
    <w:rsid w:val="00B52C6F"/>
    <w:rsid w:val="00B632CB"/>
    <w:rsid w:val="00BA62F9"/>
    <w:rsid w:val="00C20B70"/>
    <w:rsid w:val="00C928C4"/>
    <w:rsid w:val="00CA0DB9"/>
    <w:rsid w:val="00CB454F"/>
    <w:rsid w:val="00CD1020"/>
    <w:rsid w:val="00CE5290"/>
    <w:rsid w:val="00CF3692"/>
    <w:rsid w:val="00D2011E"/>
    <w:rsid w:val="00D32EEC"/>
    <w:rsid w:val="00D41BF8"/>
    <w:rsid w:val="00DC1932"/>
    <w:rsid w:val="00DC3EB0"/>
    <w:rsid w:val="00E97C47"/>
    <w:rsid w:val="00ED2084"/>
    <w:rsid w:val="00EF6B90"/>
    <w:rsid w:val="00F0456D"/>
    <w:rsid w:val="00F53212"/>
    <w:rsid w:val="00F5733D"/>
    <w:rsid w:val="00FD46B8"/>
    <w:rsid w:val="00FF1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2E134"/>
  <w15:chartTrackingRefBased/>
  <w15:docId w15:val="{0F07B035-7E7B-47D1-BB81-89454EAA4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28A5"/>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28A5"/>
  </w:style>
  <w:style w:type="paragraph" w:styleId="Footer">
    <w:name w:val="footer"/>
    <w:basedOn w:val="Normal"/>
    <w:link w:val="FooterChar"/>
    <w:uiPriority w:val="99"/>
    <w:unhideWhenUsed/>
    <w:rsid w:val="007C28A5"/>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28A5"/>
  </w:style>
  <w:style w:type="paragraph" w:styleId="ListParagraph">
    <w:name w:val="List Paragraph"/>
    <w:basedOn w:val="Normal"/>
    <w:uiPriority w:val="34"/>
    <w:qFormat/>
    <w:rsid w:val="00AA0D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9</Pages>
  <Words>1370</Words>
  <Characters>7814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9166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Lee</dc:creator>
  <cp:keywords/>
  <dc:description/>
  <cp:lastModifiedBy>Nicholas Lee</cp:lastModifiedBy>
  <cp:revision>60</cp:revision>
  <dcterms:created xsi:type="dcterms:W3CDTF">2022-06-18T15:59:00Z</dcterms:created>
  <dcterms:modified xsi:type="dcterms:W3CDTF">2022-06-19T17:36:00Z</dcterms:modified>
</cp:coreProperties>
</file>