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440"/>
        <w:jc w:val="center"/>
      </w:pPr>
      <w:r>
        <w:rPr>
          <w:rFonts w:ascii="Arial" w:cs="Arial" w:eastAsia="Arial" w:hAnsi="Arial"/>
          <w:b/>
          <w:bCs/>
          <w:color w:val="1F4E79"/>
          <w:sz w:val="72"/>
          <w:szCs w:val="72"/>
        </w:rPr>
        <w:t xml:space="preserve">⚡ SHOCKARB</w:t>
      </w:r>
    </w:p>
    <w:p>
      <w:pPr>
        <w:spacing w:after="120" w:before="0"/>
        <w:jc w:val="center"/>
      </w:pPr>
      <w:r>
        <w:rPr>
          <w:rFonts w:ascii="Arial" w:cs="Arial" w:eastAsia="Arial" w:hAnsi="Arial"/>
          <w:color w:val="404040"/>
          <w:sz w:val="36"/>
          <w:szCs w:val="36"/>
        </w:rPr>
        <w:t xml:space="preserve">User Manual</w:t>
      </w:r>
    </w:p>
    <w:p>
      <w:pPr>
        <w:spacing w:after="80" w:before="0"/>
        <w:jc w:val="center"/>
      </w:pPr>
      <w:r>
        <w:rPr>
          <w:rFonts w:ascii="Arial" w:cs="Arial" w:eastAsia="Arial" w:hAnsi="Arial"/>
          <w:i/>
          <w:iCs/>
          <w:color w:val="666666"/>
          <w:sz w:val="22"/>
          <w:szCs w:val="22"/>
        </w:rPr>
        <w:t xml:space="preserve">Factor-model arbitrage detection for geopolitical shock windows</w:t>
      </w:r>
    </w:p>
    <w:p>
      <w:pPr>
        <w:spacing w:after="80" w:before="0"/>
        <w:jc w:val="center"/>
      </w:pPr>
      <w:r>
        <w:rPr>
          <w:rFonts w:ascii="Arial" w:cs="Arial" w:eastAsia="Arial" w:hAnsi="Arial"/>
          <w:color w:val="666666"/>
          <w:sz w:val="22"/>
          <w:szCs w:val="22"/>
        </w:rPr>
        <w:t xml:space="preserve">May 2026</w:t>
      </w:r>
    </w:p>
    <w:p>
      <w:pPr>
        <w:spacing w:after="480" w:before="0"/>
        <w:jc w:val="center"/>
      </w:pPr>
      <w:r>
        <w:rPr>
          <w:rFonts w:ascii="Arial" w:cs="Arial" w:eastAsia="Arial" w:hAnsi="Arial"/>
          <w:color w:val="888888"/>
          <w:sz w:val="20"/>
          <w:szCs w:val="20"/>
        </w:rPr>
        <w:t xml:space="preserve">shockarb_lab  |  ukraine_shock regime</w:t>
      </w:r>
    </w:p>
    <w:p>
      <w:r>
        <w:br w:type="page"/>
      </w:r>
    </w:p>
    <w:p>
      <w:pPr>
        <w:pStyle w:val="Heading1"/>
        <w:spacing w:after="120" w:before="360"/>
      </w:pPr>
      <w:r>
        <w:rPr>
          <w:rFonts w:ascii="Arial" w:cs="Arial" w:eastAsia="Arial" w:hAnsi="Arial"/>
          <w:b/>
          <w:bCs/>
          <w:color w:val="1F4E79"/>
          <w:sz w:val="36"/>
          <w:szCs w:val="36"/>
        </w:rPr>
        <w:t xml:space="preserve">QUICK GUIDE</w:t>
      </w:r>
    </w:p>
    <w:p>
      <w:pPr>
        <w:spacing w:after="60" w:before="60"/>
      </w:pPr>
      <w:r>
        <w:rPr>
          <w:rFonts w:ascii="Arial" w:cs="Arial" w:eastAsia="Arial" w:hAnsi="Arial"/>
          <w:sz w:val="22"/>
          <w:szCs w:val="22"/>
        </w:rPr>
        <w:t xml:space="preserve">Everything you need to be productive in under two pages. Read this first; consult the rest of the manual for deeper reference.</w:t>
      </w:r>
    </w:p>
    <w:p>
      <w:pPr>
        <w:spacing w:after="0" w:before="0"/>
      </w:pPr>
      <w:r>
        <w:t xml:space="preserve"/>
      </w:r>
    </w:p>
    <w:p>
      <w:pPr>
        <w:pStyle w:val="Heading2"/>
        <w:spacing w:after="80" w:before="240"/>
      </w:pPr>
      <w:r>
        <w:rPr>
          <w:rFonts w:ascii="Arial" w:cs="Arial" w:eastAsia="Arial" w:hAnsi="Arial"/>
          <w:b/>
          <w:bCs/>
          <w:color w:val="2E75B6"/>
          <w:sz w:val="28"/>
          <w:szCs w:val="28"/>
        </w:rPr>
        <w:t xml:space="preserve">What ShockArb does</w:t>
      </w:r>
    </w:p>
    <w:p>
      <w:pPr>
        <w:spacing w:after="60" w:before="60"/>
      </w:pPr>
      <w:r>
        <w:rPr>
          <w:rFonts w:ascii="Arial" w:cs="Arial" w:eastAsia="Arial" w:hAnsi="Arial"/>
          <w:sz w:val="22"/>
          <w:szCs w:val="22"/>
        </w:rPr>
        <w:t xml:space="preserve">ShockArb calibrates a factor model on a historical shock window (e.g. the Russia-Ukraine invasion, Feb–Mar 2022), then applies it to today's returns to identify stocks that underperformed their factor-implied expectation. Those stocks are your long candidates — the market has sold them harder than macro factors justify, and mean-reversion is the trade.</w:t>
      </w:r>
    </w:p>
    <w:p>
      <w:pPr>
        <w:spacing w:after="0" w:before="0"/>
      </w:pPr>
      <w:r>
        <w:t xml:space="preserve"/>
      </w:r>
    </w:p>
    <w:p>
      <w:pPr>
        <w:pStyle w:val="Heading2"/>
        <w:spacing w:after="80" w:before="240"/>
      </w:pPr>
      <w:r>
        <w:rPr>
          <w:rFonts w:ascii="Arial" w:cs="Arial" w:eastAsia="Arial" w:hAnsi="Arial"/>
          <w:b/>
          <w:bCs/>
          <w:color w:val="2E75B6"/>
          <w:sz w:val="28"/>
          <w:szCs w:val="28"/>
        </w:rPr>
        <w:t xml:space="preserve">Daily workflow — four commands</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1. Score today's tape (run after 4 pm close)</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shockarb score</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w:r>
    </w:p>
    <w:p>
      <w:pPr>
        <w:pBdr>
          <w:left w:val="single" w:color="999999" w:sz="6" w:space="8"/>
        </w:pBdr>
        <w:shd w:fill="F4F4F4" w:val="clear"/>
        <w:spacing w:after="0" w:before="0"/>
        <w:ind w:left="240"/>
      </w:pPr>
      <w:r>
        <w:rPr>
          <w:rFonts w:ascii="Courier New" w:cs="Courier New" w:eastAsia="Courier New" w:hAnsi="Courier New"/>
          <w:sz w:val="20"/>
          <w:szCs w:val="20"/>
        </w:rPr>
        <w:t xml:space="preserve"># 2. Save a CSV for sizing / news scanning</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shockarb score --out data\live_alpha_us.csv</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w:r>
    </w:p>
    <w:p>
      <w:pPr>
        <w:pBdr>
          <w:left w:val="single" w:color="999999" w:sz="6" w:space="8"/>
        </w:pBdr>
        <w:shd w:fill="F4F4F4" w:val="clear"/>
        <w:spacing w:after="0" w:before="0"/>
        <w:ind w:left="240"/>
      </w:pPr>
      <w:r>
        <w:rPr>
          <w:rFonts w:ascii="Courier New" w:cs="Courier New" w:eastAsia="Courier New" w:hAnsi="Courier New"/>
          <w:sz w:val="20"/>
          <w:szCs w:val="20"/>
        </w:rPr>
        <w:t xml:space="preserve"># 3. Archive scores for regime health tracking</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shockarb score --save-recent</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w:r>
    </w:p>
    <w:p>
      <w:pPr>
        <w:pBdr>
          <w:left w:val="single" w:color="999999" w:sz="6" w:space="8"/>
        </w:pBdr>
        <w:shd w:fill="F4F4F4" w:val="clear"/>
        <w:spacing w:after="0" w:before="0"/>
        <w:ind w:left="240"/>
      </w:pPr>
      <w:r>
        <w:rPr>
          <w:rFonts w:ascii="Courier New" w:cs="Courier New" w:eastAsia="Courier New" w:hAnsi="Courier New"/>
          <w:sz w:val="20"/>
          <w:szCs w:val="20"/>
        </w:rPr>
        <w:t xml:space="preserve"># 4. Generate trade ticket ($100k across top 5)</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python utils\portfolio_sizer.py --capital 100000 --top 5</w:t>
      </w:r>
    </w:p>
    <w:p>
      <w:pPr>
        <w:spacing w:after="0" w:before="0"/>
      </w:pPr>
      <w:r>
        <w:t xml:space="preserve"/>
      </w:r>
    </w:p>
    <w:p>
      <w:pPr>
        <w:pStyle w:val="Heading2"/>
        <w:spacing w:after="80" w:before="240"/>
      </w:pPr>
      <w:r>
        <w:rPr>
          <w:rFonts w:ascii="Arial" w:cs="Arial" w:eastAsia="Arial" w:hAnsi="Arial"/>
          <w:b/>
          <w:bCs/>
          <w:color w:val="2E75B6"/>
          <w:sz w:val="28"/>
          <w:szCs w:val="28"/>
        </w:rPr>
        <w:t xml:space="preserve">Real score output — 2026-05-30 (ukraine_shock)</w:t>
      </w:r>
    </w:p>
    <w:p>
      <w:pPr>
        <w:spacing w:after="60" w:before="60"/>
      </w:pPr>
      <w:r>
        <w:rPr>
          <w:rFonts w:ascii="Arial" w:cs="Arial" w:eastAsia="Arial" w:hAnsi="Arial"/>
          <w:sz w:val="22"/>
          <w:szCs w:val="22"/>
        </w:rPr>
        <w:t xml:space="preserve">Model: ukraine_shock_us_20260528_143030.json  |  19 ETFs, 66 stocks, 3 factors  |  Cumulative variance: 86.5%</w:t>
      </w:r>
    </w:p>
    <w:p>
      <w:pPr>
        <w:spacing w:after="0" w:before="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120"/>
        <w:gridCol w:w="1200"/>
        <w:gridCol w:w="1200"/>
        <w:gridCol w:w="1200"/>
        <w:gridCol w:w="960"/>
        <w:gridCol w:w="1240"/>
        <w:gridCol w:w="1160"/>
      </w:tblGrid>
      <w:tr>
        <w:tc>
          <w:tcPr>
            <w:tcW w:type="dxa" w:w="112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center"/>
          </w:tcPr>
          <w:p>
            <w:r>
              <w:rPr>
                <w:rFonts w:ascii="Arial" w:cs="Arial" w:eastAsia="Arial" w:hAnsi="Arial"/>
                <w:b/>
                <w:bCs/>
                <w:color w:val="FFFFFF"/>
                <w:sz w:val="22"/>
                <w:szCs w:val="22"/>
              </w:rPr>
              <w:t xml:space="preserve">Ticker</w:t>
            </w:r>
          </w:p>
        </w:tc>
        <w:tc>
          <w:tcPr>
            <w:tcW w:type="dxa" w:w="120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center"/>
          </w:tcPr>
          <w:p>
            <w:r>
              <w:rPr>
                <w:rFonts w:ascii="Arial" w:cs="Arial" w:eastAsia="Arial" w:hAnsi="Arial"/>
                <w:b/>
                <w:bCs/>
                <w:color w:val="FFFFFF"/>
                <w:sz w:val="22"/>
                <w:szCs w:val="22"/>
              </w:rPr>
              <w:t xml:space="preserve">Actual</w:t>
            </w:r>
          </w:p>
        </w:tc>
        <w:tc>
          <w:tcPr>
            <w:tcW w:type="dxa" w:w="120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center"/>
          </w:tcPr>
          <w:p>
            <w:r>
              <w:rPr>
                <w:rFonts w:ascii="Arial" w:cs="Arial" w:eastAsia="Arial" w:hAnsi="Arial"/>
                <w:b/>
                <w:bCs/>
                <w:color w:val="FFFFFF"/>
                <w:sz w:val="22"/>
                <w:szCs w:val="22"/>
              </w:rPr>
              <w:t xml:space="preserve">Exp.Rel</w:t>
            </w:r>
          </w:p>
        </w:tc>
        <w:tc>
          <w:tcPr>
            <w:tcW w:type="dxa" w:w="120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center"/>
          </w:tcPr>
          <w:p>
            <w:r>
              <w:rPr>
                <w:rFonts w:ascii="Arial" w:cs="Arial" w:eastAsia="Arial" w:hAnsi="Arial"/>
                <w:b/>
                <w:bCs/>
                <w:color w:val="FFFFFF"/>
                <w:sz w:val="22"/>
                <w:szCs w:val="22"/>
              </w:rPr>
              <w:t xml:space="preserve">Delta</w:t>
            </w:r>
          </w:p>
        </w:tc>
        <w:tc>
          <w:tcPr>
            <w:tcW w:type="dxa" w:w="96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center"/>
          </w:tcPr>
          <w:p>
            <w:r>
              <w:rPr>
                <w:rFonts w:ascii="Arial" w:cs="Arial" w:eastAsia="Arial" w:hAnsi="Arial"/>
                <w:b/>
                <w:bCs/>
                <w:color w:val="FFFFFF"/>
                <w:sz w:val="22"/>
                <w:szCs w:val="22"/>
              </w:rPr>
              <w:t xml:space="preserve">R²</w:t>
            </w:r>
          </w:p>
        </w:tc>
        <w:tc>
          <w:tcPr>
            <w:tcW w:type="dxa" w:w="124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center"/>
          </w:tcPr>
          <w:p>
            <w:r>
              <w:rPr>
                <w:rFonts w:ascii="Arial" w:cs="Arial" w:eastAsia="Arial" w:hAnsi="Arial"/>
                <w:b/>
                <w:bCs/>
                <w:color w:val="FFFFFF"/>
                <w:sz w:val="22"/>
                <w:szCs w:val="22"/>
              </w:rPr>
              <w:t xml:space="preserve">Conf.Δ</w:t>
            </w:r>
          </w:p>
        </w:tc>
        <w:tc>
          <w:tcPr>
            <w:tcW w:type="dxa" w:w="116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center"/>
          </w:tcPr>
          <w:p>
            <w:r>
              <w:rPr>
                <w:rFonts w:ascii="Arial" w:cs="Arial" w:eastAsia="Arial" w:hAnsi="Arial"/>
                <w:b/>
                <w:bCs/>
                <w:color w:val="FFFFFF"/>
                <w:sz w:val="22"/>
                <w:szCs w:val="22"/>
              </w:rPr>
              <w:t xml:space="preserve">Res.Vol</w:t>
            </w:r>
          </w:p>
        </w:tc>
      </w:tr>
      <w:tr>
        <w:tc>
          <w:tcPr>
            <w:tcW w:type="dxa" w:w="1120"/>
            <w:tcBorders>
              <w:top w:val="single" w:color="CCCCCC" w:sz="1"/>
              <w:left w:val="single" w:color="CCCCCC" w:sz="1"/>
              <w:bottom w:val="single" w:color="CCCCCC" w:sz="1"/>
              <w:right w:val="single" w:color="CCCCCC" w:sz="1"/>
            </w:tcBorders>
            <w:shd w:fill="E2EFDA" w:val="clear"/>
            <w:tcMar>
              <w:top w:type="dxa" w:w="80"/>
              <w:left w:type="dxa" w:w="140"/>
              <w:bottom w:type="dxa" w:w="80"/>
              <w:right w:type="dxa" w:w="140"/>
            </w:tcMar>
          </w:tcPr>
          <w:p>
            <w:r>
              <w:rPr>
                <w:rFonts w:ascii="Arial" w:cs="Arial" w:eastAsia="Arial" w:hAnsi="Arial"/>
                <w:b/>
                <w:bCs/>
                <w:sz w:val="22"/>
                <w:szCs w:val="22"/>
              </w:rPr>
              <w:t xml:space="preserve">TXN</w:t>
            </w:r>
          </w:p>
        </w:tc>
        <w:tc>
          <w:tcPr>
            <w:tcW w:type="dxa" w:w="1200"/>
            <w:tcBorders>
              <w:top w:val="single" w:color="CCCCCC" w:sz="1"/>
              <w:left w:val="single" w:color="CCCCCC" w:sz="1"/>
              <w:bottom w:val="single" w:color="CCCCCC" w:sz="1"/>
              <w:right w:val="single" w:color="CCCCCC" w:sz="1"/>
            </w:tcBorders>
            <w:shd w:fill="E2EFDA" w:val="clear"/>
            <w:tcMar>
              <w:top w:type="dxa" w:w="80"/>
              <w:left w:type="dxa" w:w="140"/>
              <w:bottom w:type="dxa" w:w="80"/>
              <w:right w:type="dxa" w:w="140"/>
            </w:tcMar>
          </w:tcPr>
          <w:p>
            <w:r>
              <w:rPr>
                <w:rFonts w:ascii="Arial" w:cs="Arial" w:eastAsia="Arial" w:hAnsi="Arial"/>
                <w:sz w:val="22"/>
                <w:szCs w:val="22"/>
              </w:rPr>
              <w:t xml:space="preserve">-3.25%</w:t>
            </w:r>
          </w:p>
        </w:tc>
        <w:tc>
          <w:tcPr>
            <w:tcW w:type="dxa" w:w="1200"/>
            <w:tcBorders>
              <w:top w:val="single" w:color="CCCCCC" w:sz="1"/>
              <w:left w:val="single" w:color="CCCCCC" w:sz="1"/>
              <w:bottom w:val="single" w:color="CCCCCC" w:sz="1"/>
              <w:right w:val="single" w:color="CCCCCC" w:sz="1"/>
            </w:tcBorders>
            <w:shd w:fill="E2EFDA" w:val="clear"/>
            <w:tcMar>
              <w:top w:type="dxa" w:w="80"/>
              <w:left w:type="dxa" w:w="140"/>
              <w:bottom w:type="dxa" w:w="80"/>
              <w:right w:type="dxa" w:w="140"/>
            </w:tcMar>
          </w:tcPr>
          <w:p>
            <w:r>
              <w:rPr>
                <w:rFonts w:ascii="Arial" w:cs="Arial" w:eastAsia="Arial" w:hAnsi="Arial"/>
                <w:sz w:val="22"/>
                <w:szCs w:val="22"/>
              </w:rPr>
              <w:t xml:space="preserve">-0.12%</w:t>
            </w:r>
          </w:p>
        </w:tc>
        <w:tc>
          <w:tcPr>
            <w:tcW w:type="dxa" w:w="1200"/>
            <w:tcBorders>
              <w:top w:val="single" w:color="CCCCCC" w:sz="1"/>
              <w:left w:val="single" w:color="CCCCCC" w:sz="1"/>
              <w:bottom w:val="single" w:color="CCCCCC" w:sz="1"/>
              <w:right w:val="single" w:color="CCCCCC" w:sz="1"/>
            </w:tcBorders>
            <w:shd w:fill="E2EFDA" w:val="clear"/>
            <w:tcMar>
              <w:top w:type="dxa" w:w="80"/>
              <w:left w:type="dxa" w:w="140"/>
              <w:bottom w:type="dxa" w:w="80"/>
              <w:right w:type="dxa" w:w="140"/>
            </w:tcMar>
          </w:tcPr>
          <w:p>
            <w:r>
              <w:rPr>
                <w:rFonts w:ascii="Arial" w:cs="Arial" w:eastAsia="Arial" w:hAnsi="Arial"/>
                <w:sz w:val="22"/>
                <w:szCs w:val="22"/>
              </w:rPr>
              <w:t xml:space="preserve">+3.13%</w:t>
            </w:r>
          </w:p>
        </w:tc>
        <w:tc>
          <w:tcPr>
            <w:tcW w:type="dxa" w:w="960"/>
            <w:tcBorders>
              <w:top w:val="single" w:color="CCCCCC" w:sz="1"/>
              <w:left w:val="single" w:color="CCCCCC" w:sz="1"/>
              <w:bottom w:val="single" w:color="CCCCCC" w:sz="1"/>
              <w:right w:val="single" w:color="CCCCCC" w:sz="1"/>
            </w:tcBorders>
            <w:shd w:fill="E2EFDA" w:val="clear"/>
            <w:tcMar>
              <w:top w:type="dxa" w:w="80"/>
              <w:left w:type="dxa" w:w="140"/>
              <w:bottom w:type="dxa" w:w="80"/>
              <w:right w:type="dxa" w:w="140"/>
            </w:tcMar>
          </w:tcPr>
          <w:p>
            <w:r>
              <w:rPr>
                <w:rFonts w:ascii="Arial" w:cs="Arial" w:eastAsia="Arial" w:hAnsi="Arial"/>
                <w:sz w:val="22"/>
                <w:szCs w:val="22"/>
              </w:rPr>
              <w:t xml:space="preserve">0.645</w:t>
            </w:r>
          </w:p>
        </w:tc>
        <w:tc>
          <w:tcPr>
            <w:tcW w:type="dxa" w:w="1240"/>
            <w:tcBorders>
              <w:top w:val="single" w:color="CCCCCC" w:sz="1"/>
              <w:left w:val="single" w:color="CCCCCC" w:sz="1"/>
              <w:bottom w:val="single" w:color="CCCCCC" w:sz="1"/>
              <w:right w:val="single" w:color="CCCCCC" w:sz="1"/>
            </w:tcBorders>
            <w:shd w:fill="E2EFDA" w:val="clear"/>
            <w:tcMar>
              <w:top w:type="dxa" w:w="80"/>
              <w:left w:type="dxa" w:w="140"/>
              <w:bottom w:type="dxa" w:w="80"/>
              <w:right w:type="dxa" w:w="140"/>
            </w:tcMar>
          </w:tcPr>
          <w:p>
            <w:r>
              <w:rPr>
                <w:rFonts w:ascii="Arial" w:cs="Arial" w:eastAsia="Arial" w:hAnsi="Arial"/>
                <w:b/>
                <w:bCs/>
                <w:sz w:val="22"/>
                <w:szCs w:val="22"/>
              </w:rPr>
              <w:t xml:space="preserve">+2.02%</w:t>
            </w:r>
          </w:p>
        </w:tc>
        <w:tc>
          <w:tcPr>
            <w:tcW w:type="dxa" w:w="1160"/>
            <w:tcBorders>
              <w:top w:val="single" w:color="CCCCCC" w:sz="1"/>
              <w:left w:val="single" w:color="CCCCCC" w:sz="1"/>
              <w:bottom w:val="single" w:color="CCCCCC" w:sz="1"/>
              <w:right w:val="single" w:color="CCCCCC" w:sz="1"/>
            </w:tcBorders>
            <w:shd w:fill="E2EFDA" w:val="clear"/>
            <w:tcMar>
              <w:top w:type="dxa" w:w="80"/>
              <w:left w:type="dxa" w:w="140"/>
              <w:bottom w:type="dxa" w:w="80"/>
              <w:right w:type="dxa" w:w="140"/>
            </w:tcMar>
          </w:tcPr>
          <w:p>
            <w:r>
              <w:rPr>
                <w:rFonts w:ascii="Arial" w:cs="Arial" w:eastAsia="Arial" w:hAnsi="Arial"/>
                <w:sz w:val="22"/>
                <w:szCs w:val="22"/>
              </w:rPr>
              <w:t xml:space="preserve">16.9%</w:t>
            </w:r>
          </w:p>
        </w:tc>
      </w:tr>
      <w:tr>
        <w:tc>
          <w:tcPr>
            <w:tcW w:type="dxa" w:w="1120"/>
            <w:tcBorders>
              <w:top w:val="single" w:color="CCCCCC" w:sz="1"/>
              <w:left w:val="single" w:color="CCCCCC" w:sz="1"/>
              <w:bottom w:val="single" w:color="CCCCCC" w:sz="1"/>
              <w:right w:val="single" w:color="CCCCCC" w:sz="1"/>
            </w:tcBorders>
            <w:shd w:fill="E2EFDA" w:val="clear"/>
            <w:tcMar>
              <w:top w:type="dxa" w:w="80"/>
              <w:left w:type="dxa" w:w="140"/>
              <w:bottom w:type="dxa" w:w="80"/>
              <w:right w:type="dxa" w:w="140"/>
            </w:tcMar>
          </w:tcPr>
          <w:p>
            <w:r>
              <w:rPr>
                <w:rFonts w:ascii="Arial" w:cs="Arial" w:eastAsia="Arial" w:hAnsi="Arial"/>
                <w:b/>
                <w:bCs/>
                <w:sz w:val="22"/>
                <w:szCs w:val="22"/>
              </w:rPr>
              <w:t xml:space="preserve">HII</w:t>
            </w:r>
          </w:p>
        </w:tc>
        <w:tc>
          <w:tcPr>
            <w:tcW w:type="dxa" w:w="1200"/>
            <w:tcBorders>
              <w:top w:val="single" w:color="CCCCCC" w:sz="1"/>
              <w:left w:val="single" w:color="CCCCCC" w:sz="1"/>
              <w:bottom w:val="single" w:color="CCCCCC" w:sz="1"/>
              <w:right w:val="single" w:color="CCCCCC" w:sz="1"/>
            </w:tcBorders>
            <w:shd w:fill="E2EFDA" w:val="clear"/>
            <w:tcMar>
              <w:top w:type="dxa" w:w="80"/>
              <w:left w:type="dxa" w:w="140"/>
              <w:bottom w:type="dxa" w:w="80"/>
              <w:right w:type="dxa" w:w="140"/>
            </w:tcMar>
          </w:tcPr>
          <w:p>
            <w:r>
              <w:rPr>
                <w:rFonts w:ascii="Arial" w:cs="Arial" w:eastAsia="Arial" w:hAnsi="Arial"/>
                <w:sz w:val="22"/>
                <w:szCs w:val="22"/>
              </w:rPr>
              <w:t xml:space="preserve">-3.55%</w:t>
            </w:r>
          </w:p>
        </w:tc>
        <w:tc>
          <w:tcPr>
            <w:tcW w:type="dxa" w:w="1200"/>
            <w:tcBorders>
              <w:top w:val="single" w:color="CCCCCC" w:sz="1"/>
              <w:left w:val="single" w:color="CCCCCC" w:sz="1"/>
              <w:bottom w:val="single" w:color="CCCCCC" w:sz="1"/>
              <w:right w:val="single" w:color="CCCCCC" w:sz="1"/>
            </w:tcBorders>
            <w:shd w:fill="E2EFDA" w:val="clear"/>
            <w:tcMar>
              <w:top w:type="dxa" w:w="80"/>
              <w:left w:type="dxa" w:w="140"/>
              <w:bottom w:type="dxa" w:w="80"/>
              <w:right w:type="dxa" w:w="140"/>
            </w:tcMar>
          </w:tcPr>
          <w:p>
            <w:r>
              <w:rPr>
                <w:rFonts w:ascii="Arial" w:cs="Arial" w:eastAsia="Arial" w:hAnsi="Arial"/>
                <w:sz w:val="22"/>
                <w:szCs w:val="22"/>
              </w:rPr>
              <w:t xml:space="preserve">-0.66%</w:t>
            </w:r>
          </w:p>
        </w:tc>
        <w:tc>
          <w:tcPr>
            <w:tcW w:type="dxa" w:w="1200"/>
            <w:tcBorders>
              <w:top w:val="single" w:color="CCCCCC" w:sz="1"/>
              <w:left w:val="single" w:color="CCCCCC" w:sz="1"/>
              <w:bottom w:val="single" w:color="CCCCCC" w:sz="1"/>
              <w:right w:val="single" w:color="CCCCCC" w:sz="1"/>
            </w:tcBorders>
            <w:shd w:fill="E2EFDA" w:val="clear"/>
            <w:tcMar>
              <w:top w:type="dxa" w:w="80"/>
              <w:left w:type="dxa" w:w="140"/>
              <w:bottom w:type="dxa" w:w="80"/>
              <w:right w:type="dxa" w:w="140"/>
            </w:tcMar>
          </w:tcPr>
          <w:p>
            <w:r>
              <w:rPr>
                <w:rFonts w:ascii="Arial" w:cs="Arial" w:eastAsia="Arial" w:hAnsi="Arial"/>
                <w:sz w:val="22"/>
                <w:szCs w:val="22"/>
              </w:rPr>
              <w:t xml:space="preserve">+2.89%</w:t>
            </w:r>
          </w:p>
        </w:tc>
        <w:tc>
          <w:tcPr>
            <w:tcW w:type="dxa" w:w="960"/>
            <w:tcBorders>
              <w:top w:val="single" w:color="CCCCCC" w:sz="1"/>
              <w:left w:val="single" w:color="CCCCCC" w:sz="1"/>
              <w:bottom w:val="single" w:color="CCCCCC" w:sz="1"/>
              <w:right w:val="single" w:color="CCCCCC" w:sz="1"/>
            </w:tcBorders>
            <w:shd w:fill="E2EFDA" w:val="clear"/>
            <w:tcMar>
              <w:top w:type="dxa" w:w="80"/>
              <w:left w:type="dxa" w:w="140"/>
              <w:bottom w:type="dxa" w:w="80"/>
              <w:right w:type="dxa" w:w="140"/>
            </w:tcMar>
          </w:tcPr>
          <w:p>
            <w:r>
              <w:rPr>
                <w:rFonts w:ascii="Arial" w:cs="Arial" w:eastAsia="Arial" w:hAnsi="Arial"/>
                <w:sz w:val="22"/>
                <w:szCs w:val="22"/>
              </w:rPr>
              <w:t xml:space="preserve">0.496</w:t>
            </w:r>
          </w:p>
        </w:tc>
        <w:tc>
          <w:tcPr>
            <w:tcW w:type="dxa" w:w="1240"/>
            <w:tcBorders>
              <w:top w:val="single" w:color="CCCCCC" w:sz="1"/>
              <w:left w:val="single" w:color="CCCCCC" w:sz="1"/>
              <w:bottom w:val="single" w:color="CCCCCC" w:sz="1"/>
              <w:right w:val="single" w:color="CCCCCC" w:sz="1"/>
            </w:tcBorders>
            <w:shd w:fill="E2EFDA" w:val="clear"/>
            <w:tcMar>
              <w:top w:type="dxa" w:w="80"/>
              <w:left w:type="dxa" w:w="140"/>
              <w:bottom w:type="dxa" w:w="80"/>
              <w:right w:type="dxa" w:w="140"/>
            </w:tcMar>
          </w:tcPr>
          <w:p>
            <w:r>
              <w:rPr>
                <w:rFonts w:ascii="Arial" w:cs="Arial" w:eastAsia="Arial" w:hAnsi="Arial"/>
                <w:b/>
                <w:bCs/>
                <w:sz w:val="22"/>
                <w:szCs w:val="22"/>
              </w:rPr>
              <w:t xml:space="preserve">+1.43%</w:t>
            </w:r>
          </w:p>
        </w:tc>
        <w:tc>
          <w:tcPr>
            <w:tcW w:type="dxa" w:w="1160"/>
            <w:tcBorders>
              <w:top w:val="single" w:color="CCCCCC" w:sz="1"/>
              <w:left w:val="single" w:color="CCCCCC" w:sz="1"/>
              <w:bottom w:val="single" w:color="CCCCCC" w:sz="1"/>
              <w:right w:val="single" w:color="CCCCCC" w:sz="1"/>
            </w:tcBorders>
            <w:shd w:fill="E2EFDA" w:val="clear"/>
            <w:tcMar>
              <w:top w:type="dxa" w:w="80"/>
              <w:left w:type="dxa" w:w="140"/>
              <w:bottom w:type="dxa" w:w="80"/>
              <w:right w:type="dxa" w:w="140"/>
            </w:tcMar>
          </w:tcPr>
          <w:p>
            <w:r>
              <w:rPr>
                <w:rFonts w:ascii="Arial" w:cs="Arial" w:eastAsia="Arial" w:hAnsi="Arial"/>
                <w:sz w:val="22"/>
                <w:szCs w:val="22"/>
              </w:rPr>
              <w:t xml:space="preserve">22.1%</w:t>
            </w:r>
          </w:p>
        </w:tc>
      </w:tr>
      <w:tr>
        <w:tc>
          <w:tcPr>
            <w:tcW w:type="dxa" w:w="1120"/>
            <w:tcBorders>
              <w:top w:val="single" w:color="CCCCCC" w:sz="1"/>
              <w:left w:val="single" w:color="CCCCCC" w:sz="1"/>
              <w:bottom w:val="single" w:color="CCCCCC" w:sz="1"/>
              <w:right w:val="single" w:color="CCCCCC" w:sz="1"/>
            </w:tcBorders>
            <w:shd w:fill="E2EFDA" w:val="clear"/>
            <w:tcMar>
              <w:top w:type="dxa" w:w="80"/>
              <w:left w:type="dxa" w:w="140"/>
              <w:bottom w:type="dxa" w:w="80"/>
              <w:right w:type="dxa" w:w="140"/>
            </w:tcMar>
          </w:tcPr>
          <w:p>
            <w:r>
              <w:rPr>
                <w:rFonts w:ascii="Arial" w:cs="Arial" w:eastAsia="Arial" w:hAnsi="Arial"/>
                <w:b/>
                <w:bCs/>
                <w:sz w:val="22"/>
                <w:szCs w:val="22"/>
              </w:rPr>
              <w:t xml:space="preserve">COST</w:t>
            </w:r>
          </w:p>
        </w:tc>
        <w:tc>
          <w:tcPr>
            <w:tcW w:type="dxa" w:w="1200"/>
            <w:tcBorders>
              <w:top w:val="single" w:color="CCCCCC" w:sz="1"/>
              <w:left w:val="single" w:color="CCCCCC" w:sz="1"/>
              <w:bottom w:val="single" w:color="CCCCCC" w:sz="1"/>
              <w:right w:val="single" w:color="CCCCCC" w:sz="1"/>
            </w:tcBorders>
            <w:shd w:fill="E2EFDA" w:val="clear"/>
            <w:tcMar>
              <w:top w:type="dxa" w:w="80"/>
              <w:left w:type="dxa" w:w="140"/>
              <w:bottom w:type="dxa" w:w="80"/>
              <w:right w:type="dxa" w:w="140"/>
            </w:tcMar>
          </w:tcPr>
          <w:p>
            <w:r>
              <w:rPr>
                <w:rFonts w:ascii="Arial" w:cs="Arial" w:eastAsia="Arial" w:hAnsi="Arial"/>
                <w:sz w:val="22"/>
                <w:szCs w:val="22"/>
              </w:rPr>
              <w:t xml:space="preserve">-3.91%</w:t>
            </w:r>
          </w:p>
        </w:tc>
        <w:tc>
          <w:tcPr>
            <w:tcW w:type="dxa" w:w="1200"/>
            <w:tcBorders>
              <w:top w:val="single" w:color="CCCCCC" w:sz="1"/>
              <w:left w:val="single" w:color="CCCCCC" w:sz="1"/>
              <w:bottom w:val="single" w:color="CCCCCC" w:sz="1"/>
              <w:right w:val="single" w:color="CCCCCC" w:sz="1"/>
            </w:tcBorders>
            <w:shd w:fill="E2EFDA" w:val="clear"/>
            <w:tcMar>
              <w:top w:type="dxa" w:w="80"/>
              <w:left w:type="dxa" w:w="140"/>
              <w:bottom w:type="dxa" w:w="80"/>
              <w:right w:type="dxa" w:w="140"/>
            </w:tcMar>
          </w:tcPr>
          <w:p>
            <w:r>
              <w:rPr>
                <w:rFonts w:ascii="Arial" w:cs="Arial" w:eastAsia="Arial" w:hAnsi="Arial"/>
                <w:sz w:val="22"/>
                <w:szCs w:val="22"/>
              </w:rPr>
              <w:t xml:space="preserve">-0.02%</w:t>
            </w:r>
          </w:p>
        </w:tc>
        <w:tc>
          <w:tcPr>
            <w:tcW w:type="dxa" w:w="1200"/>
            <w:tcBorders>
              <w:top w:val="single" w:color="CCCCCC" w:sz="1"/>
              <w:left w:val="single" w:color="CCCCCC" w:sz="1"/>
              <w:bottom w:val="single" w:color="CCCCCC" w:sz="1"/>
              <w:right w:val="single" w:color="CCCCCC" w:sz="1"/>
            </w:tcBorders>
            <w:shd w:fill="E2EFDA" w:val="clear"/>
            <w:tcMar>
              <w:top w:type="dxa" w:w="80"/>
              <w:left w:type="dxa" w:w="140"/>
              <w:bottom w:type="dxa" w:w="80"/>
              <w:right w:type="dxa" w:w="140"/>
            </w:tcMar>
          </w:tcPr>
          <w:p>
            <w:r>
              <w:rPr>
                <w:rFonts w:ascii="Arial" w:cs="Arial" w:eastAsia="Arial" w:hAnsi="Arial"/>
                <w:sz w:val="22"/>
                <w:szCs w:val="22"/>
              </w:rPr>
              <w:t xml:space="preserve">+3.89%</w:t>
            </w:r>
          </w:p>
        </w:tc>
        <w:tc>
          <w:tcPr>
            <w:tcW w:type="dxa" w:w="960"/>
            <w:tcBorders>
              <w:top w:val="single" w:color="CCCCCC" w:sz="1"/>
              <w:left w:val="single" w:color="CCCCCC" w:sz="1"/>
              <w:bottom w:val="single" w:color="CCCCCC" w:sz="1"/>
              <w:right w:val="single" w:color="CCCCCC" w:sz="1"/>
            </w:tcBorders>
            <w:shd w:fill="E2EFDA" w:val="clear"/>
            <w:tcMar>
              <w:top w:type="dxa" w:w="80"/>
              <w:left w:type="dxa" w:w="140"/>
              <w:bottom w:type="dxa" w:w="80"/>
              <w:right w:type="dxa" w:w="140"/>
            </w:tcMar>
          </w:tcPr>
          <w:p>
            <w:r>
              <w:rPr>
                <w:rFonts w:ascii="Arial" w:cs="Arial" w:eastAsia="Arial" w:hAnsi="Arial"/>
                <w:sz w:val="22"/>
                <w:szCs w:val="22"/>
              </w:rPr>
              <w:t xml:space="preserve">0.365</w:t>
            </w:r>
          </w:p>
        </w:tc>
        <w:tc>
          <w:tcPr>
            <w:tcW w:type="dxa" w:w="1240"/>
            <w:tcBorders>
              <w:top w:val="single" w:color="CCCCCC" w:sz="1"/>
              <w:left w:val="single" w:color="CCCCCC" w:sz="1"/>
              <w:bottom w:val="single" w:color="CCCCCC" w:sz="1"/>
              <w:right w:val="single" w:color="CCCCCC" w:sz="1"/>
            </w:tcBorders>
            <w:shd w:fill="E2EFDA" w:val="clear"/>
            <w:tcMar>
              <w:top w:type="dxa" w:w="80"/>
              <w:left w:type="dxa" w:w="140"/>
              <w:bottom w:type="dxa" w:w="80"/>
              <w:right w:type="dxa" w:w="140"/>
            </w:tcMar>
          </w:tcPr>
          <w:p>
            <w:r>
              <w:rPr>
                <w:rFonts w:ascii="Arial" w:cs="Arial" w:eastAsia="Arial" w:hAnsi="Arial"/>
                <w:b/>
                <w:bCs/>
                <w:sz w:val="22"/>
                <w:szCs w:val="22"/>
              </w:rPr>
              <w:t xml:space="preserve">+1.42%</w:t>
            </w:r>
          </w:p>
        </w:tc>
        <w:tc>
          <w:tcPr>
            <w:tcW w:type="dxa" w:w="1160"/>
            <w:tcBorders>
              <w:top w:val="single" w:color="CCCCCC" w:sz="1"/>
              <w:left w:val="single" w:color="CCCCCC" w:sz="1"/>
              <w:bottom w:val="single" w:color="CCCCCC" w:sz="1"/>
              <w:right w:val="single" w:color="CCCCCC" w:sz="1"/>
            </w:tcBorders>
            <w:shd w:fill="E2EFDA" w:val="clear"/>
            <w:tcMar>
              <w:top w:type="dxa" w:w="80"/>
              <w:left w:type="dxa" w:w="140"/>
              <w:bottom w:type="dxa" w:w="80"/>
              <w:right w:type="dxa" w:w="140"/>
            </w:tcMar>
          </w:tcPr>
          <w:p>
            <w:r>
              <w:rPr>
                <w:rFonts w:ascii="Arial" w:cs="Arial" w:eastAsia="Arial" w:hAnsi="Arial"/>
                <w:sz w:val="22"/>
                <w:szCs w:val="22"/>
              </w:rPr>
              <w:t xml:space="preserve">15.4%</w:t>
            </w:r>
          </w:p>
        </w:tc>
      </w:tr>
      <w:tr>
        <w:tc>
          <w:tcPr>
            <w:tcW w:type="dxa" w:w="1120"/>
            <w:tcBorders>
              <w:top w:val="single" w:color="CCCCCC" w:sz="1"/>
              <w:left w:val="single" w:color="CCCCCC" w:sz="1"/>
              <w:bottom w:val="single" w:color="CCCCCC" w:sz="1"/>
              <w:right w:val="single" w:color="CCCCCC" w:sz="1"/>
            </w:tcBorders>
            <w:shd w:fill="E2EFDA" w:val="clear"/>
            <w:tcMar>
              <w:top w:type="dxa" w:w="80"/>
              <w:left w:type="dxa" w:w="140"/>
              <w:bottom w:type="dxa" w:w="80"/>
              <w:right w:type="dxa" w:w="140"/>
            </w:tcMar>
          </w:tcPr>
          <w:p>
            <w:r>
              <w:rPr>
                <w:rFonts w:ascii="Arial" w:cs="Arial" w:eastAsia="Arial" w:hAnsi="Arial"/>
                <w:b/>
                <w:bCs/>
                <w:sz w:val="22"/>
                <w:szCs w:val="22"/>
              </w:rPr>
              <w:t xml:space="preserve">CPRT</w:t>
            </w:r>
          </w:p>
        </w:tc>
        <w:tc>
          <w:tcPr>
            <w:tcW w:type="dxa" w:w="1200"/>
            <w:tcBorders>
              <w:top w:val="single" w:color="CCCCCC" w:sz="1"/>
              <w:left w:val="single" w:color="CCCCCC" w:sz="1"/>
              <w:bottom w:val="single" w:color="CCCCCC" w:sz="1"/>
              <w:right w:val="single" w:color="CCCCCC" w:sz="1"/>
            </w:tcBorders>
            <w:shd w:fill="E2EFDA" w:val="clear"/>
            <w:tcMar>
              <w:top w:type="dxa" w:w="80"/>
              <w:left w:type="dxa" w:w="140"/>
              <w:bottom w:type="dxa" w:w="80"/>
              <w:right w:type="dxa" w:w="140"/>
            </w:tcMar>
          </w:tcPr>
          <w:p>
            <w:r>
              <w:rPr>
                <w:rFonts w:ascii="Arial" w:cs="Arial" w:eastAsia="Arial" w:hAnsi="Arial"/>
                <w:sz w:val="22"/>
                <w:szCs w:val="22"/>
              </w:rPr>
              <w:t xml:space="preserve">-1.53%</w:t>
            </w:r>
          </w:p>
        </w:tc>
        <w:tc>
          <w:tcPr>
            <w:tcW w:type="dxa" w:w="1200"/>
            <w:tcBorders>
              <w:top w:val="single" w:color="CCCCCC" w:sz="1"/>
              <w:left w:val="single" w:color="CCCCCC" w:sz="1"/>
              <w:bottom w:val="single" w:color="CCCCCC" w:sz="1"/>
              <w:right w:val="single" w:color="CCCCCC" w:sz="1"/>
            </w:tcBorders>
            <w:shd w:fill="E2EFDA" w:val="clear"/>
            <w:tcMar>
              <w:top w:type="dxa" w:w="80"/>
              <w:left w:type="dxa" w:w="140"/>
              <w:bottom w:type="dxa" w:w="80"/>
              <w:right w:type="dxa" w:w="140"/>
            </w:tcMar>
          </w:tcPr>
          <w:p>
            <w:r>
              <w:rPr>
                <w:rFonts w:ascii="Arial" w:cs="Arial" w:eastAsia="Arial" w:hAnsi="Arial"/>
                <w:sz w:val="22"/>
                <w:szCs w:val="22"/>
              </w:rPr>
              <w:t xml:space="preserve">+0.03%</w:t>
            </w:r>
          </w:p>
        </w:tc>
        <w:tc>
          <w:tcPr>
            <w:tcW w:type="dxa" w:w="1200"/>
            <w:tcBorders>
              <w:top w:val="single" w:color="CCCCCC" w:sz="1"/>
              <w:left w:val="single" w:color="CCCCCC" w:sz="1"/>
              <w:bottom w:val="single" w:color="CCCCCC" w:sz="1"/>
              <w:right w:val="single" w:color="CCCCCC" w:sz="1"/>
            </w:tcBorders>
            <w:shd w:fill="E2EFDA" w:val="clear"/>
            <w:tcMar>
              <w:top w:type="dxa" w:w="80"/>
              <w:left w:type="dxa" w:w="140"/>
              <w:bottom w:type="dxa" w:w="80"/>
              <w:right w:type="dxa" w:w="140"/>
            </w:tcMar>
          </w:tcPr>
          <w:p>
            <w:r>
              <w:rPr>
                <w:rFonts w:ascii="Arial" w:cs="Arial" w:eastAsia="Arial" w:hAnsi="Arial"/>
                <w:sz w:val="22"/>
                <w:szCs w:val="22"/>
              </w:rPr>
              <w:t xml:space="preserve">+1.56%</w:t>
            </w:r>
          </w:p>
        </w:tc>
        <w:tc>
          <w:tcPr>
            <w:tcW w:type="dxa" w:w="960"/>
            <w:tcBorders>
              <w:top w:val="single" w:color="CCCCCC" w:sz="1"/>
              <w:left w:val="single" w:color="CCCCCC" w:sz="1"/>
              <w:bottom w:val="single" w:color="CCCCCC" w:sz="1"/>
              <w:right w:val="single" w:color="CCCCCC" w:sz="1"/>
            </w:tcBorders>
            <w:shd w:fill="E2EFDA" w:val="clear"/>
            <w:tcMar>
              <w:top w:type="dxa" w:w="80"/>
              <w:left w:type="dxa" w:w="140"/>
              <w:bottom w:type="dxa" w:w="80"/>
              <w:right w:type="dxa" w:w="140"/>
            </w:tcMar>
          </w:tcPr>
          <w:p>
            <w:r>
              <w:rPr>
                <w:rFonts w:ascii="Arial" w:cs="Arial" w:eastAsia="Arial" w:hAnsi="Arial"/>
                <w:sz w:val="22"/>
                <w:szCs w:val="22"/>
              </w:rPr>
              <w:t xml:space="preserve">0.812</w:t>
            </w:r>
          </w:p>
        </w:tc>
        <w:tc>
          <w:tcPr>
            <w:tcW w:type="dxa" w:w="1240"/>
            <w:tcBorders>
              <w:top w:val="single" w:color="CCCCCC" w:sz="1"/>
              <w:left w:val="single" w:color="CCCCCC" w:sz="1"/>
              <w:bottom w:val="single" w:color="CCCCCC" w:sz="1"/>
              <w:right w:val="single" w:color="CCCCCC" w:sz="1"/>
            </w:tcBorders>
            <w:shd w:fill="E2EFDA" w:val="clear"/>
            <w:tcMar>
              <w:top w:type="dxa" w:w="80"/>
              <w:left w:type="dxa" w:w="140"/>
              <w:bottom w:type="dxa" w:w="80"/>
              <w:right w:type="dxa" w:w="140"/>
            </w:tcMar>
          </w:tcPr>
          <w:p>
            <w:r>
              <w:rPr>
                <w:rFonts w:ascii="Arial" w:cs="Arial" w:eastAsia="Arial" w:hAnsi="Arial"/>
                <w:b/>
                <w:bCs/>
                <w:sz w:val="22"/>
                <w:szCs w:val="22"/>
              </w:rPr>
              <w:t xml:space="preserve">+1.27%</w:t>
            </w:r>
          </w:p>
        </w:tc>
        <w:tc>
          <w:tcPr>
            <w:tcW w:type="dxa" w:w="1160"/>
            <w:tcBorders>
              <w:top w:val="single" w:color="CCCCCC" w:sz="1"/>
              <w:left w:val="single" w:color="CCCCCC" w:sz="1"/>
              <w:bottom w:val="single" w:color="CCCCCC" w:sz="1"/>
              <w:right w:val="single" w:color="CCCCCC" w:sz="1"/>
            </w:tcBorders>
            <w:shd w:fill="E2EFDA" w:val="clear"/>
            <w:tcMar>
              <w:top w:type="dxa" w:w="80"/>
              <w:left w:type="dxa" w:w="140"/>
              <w:bottom w:type="dxa" w:w="80"/>
              <w:right w:type="dxa" w:w="140"/>
            </w:tcMar>
          </w:tcPr>
          <w:p>
            <w:r>
              <w:rPr>
                <w:rFonts w:ascii="Arial" w:cs="Arial" w:eastAsia="Arial" w:hAnsi="Arial"/>
                <w:sz w:val="22"/>
                <w:szCs w:val="22"/>
              </w:rPr>
              <w:t xml:space="preserve">18.9%</w:t>
            </w:r>
          </w:p>
        </w:tc>
      </w:tr>
      <w:tr>
        <w:tc>
          <w:tcPr>
            <w:tcW w:type="dxa" w:w="1120"/>
            <w:tcBorders>
              <w:top w:val="single" w:color="CCCCCC" w:sz="1"/>
              <w:left w:val="single" w:color="CCCCCC" w:sz="1"/>
              <w:bottom w:val="single" w:color="CCCCCC" w:sz="1"/>
              <w:right w:val="single" w:color="CCCCCC" w:sz="1"/>
            </w:tcBorders>
            <w:shd w:fill="E2EFDA" w:val="clear"/>
            <w:tcMar>
              <w:top w:type="dxa" w:w="80"/>
              <w:left w:type="dxa" w:w="140"/>
              <w:bottom w:type="dxa" w:w="80"/>
              <w:right w:type="dxa" w:w="140"/>
            </w:tcMar>
          </w:tcPr>
          <w:p>
            <w:r>
              <w:rPr>
                <w:rFonts w:ascii="Arial" w:cs="Arial" w:eastAsia="Arial" w:hAnsi="Arial"/>
                <w:b/>
                <w:bCs/>
                <w:sz w:val="22"/>
                <w:szCs w:val="22"/>
              </w:rPr>
              <w:t xml:space="preserve">BSX</w:t>
            </w:r>
          </w:p>
        </w:tc>
        <w:tc>
          <w:tcPr>
            <w:tcW w:type="dxa" w:w="1200"/>
            <w:tcBorders>
              <w:top w:val="single" w:color="CCCCCC" w:sz="1"/>
              <w:left w:val="single" w:color="CCCCCC" w:sz="1"/>
              <w:bottom w:val="single" w:color="CCCCCC" w:sz="1"/>
              <w:right w:val="single" w:color="CCCCCC" w:sz="1"/>
            </w:tcBorders>
            <w:shd w:fill="E2EFDA" w:val="clear"/>
            <w:tcMar>
              <w:top w:type="dxa" w:w="80"/>
              <w:left w:type="dxa" w:w="140"/>
              <w:bottom w:type="dxa" w:w="80"/>
              <w:right w:type="dxa" w:w="140"/>
            </w:tcMar>
          </w:tcPr>
          <w:p>
            <w:r>
              <w:rPr>
                <w:rFonts w:ascii="Arial" w:cs="Arial" w:eastAsia="Arial" w:hAnsi="Arial"/>
                <w:sz w:val="22"/>
                <w:szCs w:val="22"/>
              </w:rPr>
              <w:t xml:space="preserve">-1.63%</w:t>
            </w:r>
          </w:p>
        </w:tc>
        <w:tc>
          <w:tcPr>
            <w:tcW w:type="dxa" w:w="1200"/>
            <w:tcBorders>
              <w:top w:val="single" w:color="CCCCCC" w:sz="1"/>
              <w:left w:val="single" w:color="CCCCCC" w:sz="1"/>
              <w:bottom w:val="single" w:color="CCCCCC" w:sz="1"/>
              <w:right w:val="single" w:color="CCCCCC" w:sz="1"/>
            </w:tcBorders>
            <w:shd w:fill="E2EFDA" w:val="clear"/>
            <w:tcMar>
              <w:top w:type="dxa" w:w="80"/>
              <w:left w:type="dxa" w:w="140"/>
              <w:bottom w:type="dxa" w:w="80"/>
              <w:right w:type="dxa" w:w="140"/>
            </w:tcMar>
          </w:tcPr>
          <w:p>
            <w:r>
              <w:rPr>
                <w:rFonts w:ascii="Arial" w:cs="Arial" w:eastAsia="Arial" w:hAnsi="Arial"/>
                <w:sz w:val="22"/>
                <w:szCs w:val="22"/>
              </w:rPr>
              <w:t xml:space="preserve">+0.02%</w:t>
            </w:r>
          </w:p>
        </w:tc>
        <w:tc>
          <w:tcPr>
            <w:tcW w:type="dxa" w:w="1200"/>
            <w:tcBorders>
              <w:top w:val="single" w:color="CCCCCC" w:sz="1"/>
              <w:left w:val="single" w:color="CCCCCC" w:sz="1"/>
              <w:bottom w:val="single" w:color="CCCCCC" w:sz="1"/>
              <w:right w:val="single" w:color="CCCCCC" w:sz="1"/>
            </w:tcBorders>
            <w:shd w:fill="E2EFDA" w:val="clear"/>
            <w:tcMar>
              <w:top w:type="dxa" w:w="80"/>
              <w:left w:type="dxa" w:w="140"/>
              <w:bottom w:type="dxa" w:w="80"/>
              <w:right w:type="dxa" w:w="140"/>
            </w:tcMar>
          </w:tcPr>
          <w:p>
            <w:r>
              <w:rPr>
                <w:rFonts w:ascii="Arial" w:cs="Arial" w:eastAsia="Arial" w:hAnsi="Arial"/>
                <w:sz w:val="22"/>
                <w:szCs w:val="22"/>
              </w:rPr>
              <w:t xml:space="preserve">+1.65%</w:t>
            </w:r>
          </w:p>
        </w:tc>
        <w:tc>
          <w:tcPr>
            <w:tcW w:type="dxa" w:w="960"/>
            <w:tcBorders>
              <w:top w:val="single" w:color="CCCCCC" w:sz="1"/>
              <w:left w:val="single" w:color="CCCCCC" w:sz="1"/>
              <w:bottom w:val="single" w:color="CCCCCC" w:sz="1"/>
              <w:right w:val="single" w:color="CCCCCC" w:sz="1"/>
            </w:tcBorders>
            <w:shd w:fill="E2EFDA" w:val="clear"/>
            <w:tcMar>
              <w:top w:type="dxa" w:w="80"/>
              <w:left w:type="dxa" w:w="140"/>
              <w:bottom w:type="dxa" w:w="80"/>
              <w:right w:type="dxa" w:w="140"/>
            </w:tcMar>
          </w:tcPr>
          <w:p>
            <w:r>
              <w:rPr>
                <w:rFonts w:ascii="Arial" w:cs="Arial" w:eastAsia="Arial" w:hAnsi="Arial"/>
                <w:sz w:val="22"/>
                <w:szCs w:val="22"/>
              </w:rPr>
              <w:t xml:space="preserve">0.601</w:t>
            </w:r>
          </w:p>
        </w:tc>
        <w:tc>
          <w:tcPr>
            <w:tcW w:type="dxa" w:w="1240"/>
            <w:tcBorders>
              <w:top w:val="single" w:color="CCCCCC" w:sz="1"/>
              <w:left w:val="single" w:color="CCCCCC" w:sz="1"/>
              <w:bottom w:val="single" w:color="CCCCCC" w:sz="1"/>
              <w:right w:val="single" w:color="CCCCCC" w:sz="1"/>
            </w:tcBorders>
            <w:shd w:fill="E2EFDA" w:val="clear"/>
            <w:tcMar>
              <w:top w:type="dxa" w:w="80"/>
              <w:left w:type="dxa" w:w="140"/>
              <w:bottom w:type="dxa" w:w="80"/>
              <w:right w:type="dxa" w:w="140"/>
            </w:tcMar>
          </w:tcPr>
          <w:p>
            <w:r>
              <w:rPr>
                <w:rFonts w:ascii="Arial" w:cs="Arial" w:eastAsia="Arial" w:hAnsi="Arial"/>
                <w:b/>
                <w:bCs/>
                <w:sz w:val="22"/>
                <w:szCs w:val="22"/>
              </w:rPr>
              <w:t xml:space="preserve">+0.99%</w:t>
            </w:r>
          </w:p>
        </w:tc>
        <w:tc>
          <w:tcPr>
            <w:tcW w:type="dxa" w:w="1160"/>
            <w:tcBorders>
              <w:top w:val="single" w:color="CCCCCC" w:sz="1"/>
              <w:left w:val="single" w:color="CCCCCC" w:sz="1"/>
              <w:bottom w:val="single" w:color="CCCCCC" w:sz="1"/>
              <w:right w:val="single" w:color="CCCCCC" w:sz="1"/>
            </w:tcBorders>
            <w:shd w:fill="E2EFDA" w:val="clear"/>
            <w:tcMar>
              <w:top w:type="dxa" w:w="80"/>
              <w:left w:type="dxa" w:w="140"/>
              <w:bottom w:type="dxa" w:w="80"/>
              <w:right w:type="dxa" w:w="140"/>
            </w:tcMar>
          </w:tcPr>
          <w:p>
            <w:r>
              <w:rPr>
                <w:rFonts w:ascii="Arial" w:cs="Arial" w:eastAsia="Arial" w:hAnsi="Arial"/>
                <w:sz w:val="22"/>
                <w:szCs w:val="22"/>
              </w:rPr>
              <w:t xml:space="preserve">18.0%</w:t>
            </w:r>
          </w:p>
        </w:tc>
      </w:tr>
      <w:tr>
        <w:tc>
          <w:tcPr>
            <w:tcW w:type="dxa" w:w="1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b/>
                <w:bCs/>
                <w:sz w:val="22"/>
                <w:szCs w:val="22"/>
              </w:rPr>
              <w:t xml:space="preserv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
            </w:r>
          </w:p>
        </w:tc>
        <w:tc>
          <w:tcPr>
            <w:tcW w:type="dxa" w:w="1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
            </w:r>
          </w:p>
        </w:tc>
        <w:tc>
          <w:tcPr>
            <w:tcW w:type="dxa" w:w="1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
            </w:r>
          </w:p>
        </w:tc>
        <w:tc>
          <w:tcPr>
            <w:tcW w:type="dxa" w:w="96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
            </w:r>
          </w:p>
        </w:tc>
        <w:tc>
          <w:tcPr>
            <w:tcW w:type="dxa" w:w="1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
            </w:r>
          </w:p>
        </w:tc>
        <w:tc>
          <w:tcPr>
            <w:tcW w:type="dxa" w:w="116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
            </w:r>
          </w:p>
        </w:tc>
      </w:tr>
      <w:tr>
        <w:tc>
          <w:tcPr>
            <w:tcW w:type="dxa" w:w="1120"/>
            <w:tcBorders>
              <w:top w:val="single" w:color="CCCCCC" w:sz="1"/>
              <w:left w:val="single" w:color="CCCCCC" w:sz="1"/>
              <w:bottom w:val="single" w:color="CCCCCC" w:sz="1"/>
              <w:right w:val="single" w:color="CCCCCC" w:sz="1"/>
            </w:tcBorders>
            <w:shd w:fill="FCE4D6" w:val="clear"/>
            <w:tcMar>
              <w:top w:type="dxa" w:w="80"/>
              <w:left w:type="dxa" w:w="140"/>
              <w:bottom w:type="dxa" w:w="80"/>
              <w:right w:type="dxa" w:w="140"/>
            </w:tcMar>
          </w:tcPr>
          <w:p>
            <w:r>
              <w:rPr>
                <w:rFonts w:ascii="Arial" w:cs="Arial" w:eastAsia="Arial" w:hAnsi="Arial"/>
                <w:b/>
                <w:bCs/>
                <w:sz w:val="22"/>
                <w:szCs w:val="22"/>
              </w:rPr>
              <w:t xml:space="preserve">NOW</w:t>
            </w:r>
          </w:p>
        </w:tc>
        <w:tc>
          <w:tcPr>
            <w:tcW w:type="dxa" w:w="1200"/>
            <w:tcBorders>
              <w:top w:val="single" w:color="CCCCCC" w:sz="1"/>
              <w:left w:val="single" w:color="CCCCCC" w:sz="1"/>
              <w:bottom w:val="single" w:color="CCCCCC" w:sz="1"/>
              <w:right w:val="single" w:color="CCCCCC" w:sz="1"/>
            </w:tcBorders>
            <w:shd w:fill="FCE4D6" w:val="clear"/>
            <w:tcMar>
              <w:top w:type="dxa" w:w="80"/>
              <w:left w:type="dxa" w:w="140"/>
              <w:bottom w:type="dxa" w:w="80"/>
              <w:right w:type="dxa" w:w="140"/>
            </w:tcMar>
          </w:tcPr>
          <w:p>
            <w:r>
              <w:rPr>
                <w:rFonts w:ascii="Arial" w:cs="Arial" w:eastAsia="Arial" w:hAnsi="Arial"/>
                <w:sz w:val="22"/>
                <w:szCs w:val="22"/>
              </w:rPr>
              <w:t xml:space="preserve">+14.38%</w:t>
            </w:r>
          </w:p>
        </w:tc>
        <w:tc>
          <w:tcPr>
            <w:tcW w:type="dxa" w:w="1200"/>
            <w:tcBorders>
              <w:top w:val="single" w:color="CCCCCC" w:sz="1"/>
              <w:left w:val="single" w:color="CCCCCC" w:sz="1"/>
              <w:bottom w:val="single" w:color="CCCCCC" w:sz="1"/>
              <w:right w:val="single" w:color="CCCCCC" w:sz="1"/>
            </w:tcBorders>
            <w:shd w:fill="FCE4D6" w:val="clear"/>
            <w:tcMar>
              <w:top w:type="dxa" w:w="80"/>
              <w:left w:type="dxa" w:w="140"/>
              <w:bottom w:type="dxa" w:w="80"/>
              <w:right w:type="dxa" w:w="140"/>
            </w:tcMar>
          </w:tcPr>
          <w:p>
            <w:r>
              <w:rPr>
                <w:rFonts w:ascii="Arial" w:cs="Arial" w:eastAsia="Arial" w:hAnsi="Arial"/>
                <w:sz w:val="22"/>
                <w:szCs w:val="22"/>
              </w:rPr>
              <w:t xml:space="preserve">-0.17%</w:t>
            </w:r>
          </w:p>
        </w:tc>
        <w:tc>
          <w:tcPr>
            <w:tcW w:type="dxa" w:w="1200"/>
            <w:tcBorders>
              <w:top w:val="single" w:color="CCCCCC" w:sz="1"/>
              <w:left w:val="single" w:color="CCCCCC" w:sz="1"/>
              <w:bottom w:val="single" w:color="CCCCCC" w:sz="1"/>
              <w:right w:val="single" w:color="CCCCCC" w:sz="1"/>
            </w:tcBorders>
            <w:shd w:fill="FCE4D6" w:val="clear"/>
            <w:tcMar>
              <w:top w:type="dxa" w:w="80"/>
              <w:left w:type="dxa" w:w="140"/>
              <w:bottom w:type="dxa" w:w="80"/>
              <w:right w:type="dxa" w:w="140"/>
            </w:tcMar>
          </w:tcPr>
          <w:p>
            <w:r>
              <w:rPr>
                <w:rFonts w:ascii="Arial" w:cs="Arial" w:eastAsia="Arial" w:hAnsi="Arial"/>
                <w:sz w:val="22"/>
                <w:szCs w:val="22"/>
              </w:rPr>
              <w:t xml:space="preserve">-14.55%</w:t>
            </w:r>
          </w:p>
        </w:tc>
        <w:tc>
          <w:tcPr>
            <w:tcW w:type="dxa" w:w="960"/>
            <w:tcBorders>
              <w:top w:val="single" w:color="CCCCCC" w:sz="1"/>
              <w:left w:val="single" w:color="CCCCCC" w:sz="1"/>
              <w:bottom w:val="single" w:color="CCCCCC" w:sz="1"/>
              <w:right w:val="single" w:color="CCCCCC" w:sz="1"/>
            </w:tcBorders>
            <w:shd w:fill="FCE4D6" w:val="clear"/>
            <w:tcMar>
              <w:top w:type="dxa" w:w="80"/>
              <w:left w:type="dxa" w:w="140"/>
              <w:bottom w:type="dxa" w:w="80"/>
              <w:right w:type="dxa" w:w="140"/>
            </w:tcMar>
          </w:tcPr>
          <w:p>
            <w:r>
              <w:rPr>
                <w:rFonts w:ascii="Arial" w:cs="Arial" w:eastAsia="Arial" w:hAnsi="Arial"/>
                <w:sz w:val="22"/>
                <w:szCs w:val="22"/>
              </w:rPr>
              <w:t xml:space="preserve">0.605</w:t>
            </w:r>
          </w:p>
        </w:tc>
        <w:tc>
          <w:tcPr>
            <w:tcW w:type="dxa" w:w="1240"/>
            <w:tcBorders>
              <w:top w:val="single" w:color="CCCCCC" w:sz="1"/>
              <w:left w:val="single" w:color="CCCCCC" w:sz="1"/>
              <w:bottom w:val="single" w:color="CCCCCC" w:sz="1"/>
              <w:right w:val="single" w:color="CCCCCC" w:sz="1"/>
            </w:tcBorders>
            <w:shd w:fill="FCE4D6" w:val="clear"/>
            <w:tcMar>
              <w:top w:type="dxa" w:w="80"/>
              <w:left w:type="dxa" w:w="140"/>
              <w:bottom w:type="dxa" w:w="80"/>
              <w:right w:type="dxa" w:w="140"/>
            </w:tcMar>
          </w:tcPr>
          <w:p>
            <w:r>
              <w:rPr>
                <w:rFonts w:ascii="Arial" w:cs="Arial" w:eastAsia="Arial" w:hAnsi="Arial"/>
                <w:b/>
                <w:bCs/>
                <w:sz w:val="22"/>
                <w:szCs w:val="22"/>
              </w:rPr>
              <w:t xml:space="preserve">-8.80%</w:t>
            </w:r>
          </w:p>
        </w:tc>
        <w:tc>
          <w:tcPr>
            <w:tcW w:type="dxa" w:w="1160"/>
            <w:tcBorders>
              <w:top w:val="single" w:color="CCCCCC" w:sz="1"/>
              <w:left w:val="single" w:color="CCCCCC" w:sz="1"/>
              <w:bottom w:val="single" w:color="CCCCCC" w:sz="1"/>
              <w:right w:val="single" w:color="CCCCCC" w:sz="1"/>
            </w:tcBorders>
            <w:shd w:fill="FCE4D6" w:val="clear"/>
            <w:tcMar>
              <w:top w:type="dxa" w:w="80"/>
              <w:left w:type="dxa" w:w="140"/>
              <w:bottom w:type="dxa" w:w="80"/>
              <w:right w:type="dxa" w:w="140"/>
            </w:tcMar>
          </w:tcPr>
          <w:p>
            <w:r>
              <w:rPr>
                <w:rFonts w:ascii="Arial" w:cs="Arial" w:eastAsia="Arial" w:hAnsi="Arial"/>
                <w:sz w:val="22"/>
                <w:szCs w:val="22"/>
              </w:rPr>
              <w:t xml:space="preserve">37.6%</w:t>
            </w:r>
          </w:p>
        </w:tc>
      </w:tr>
      <w:tr>
        <w:tc>
          <w:tcPr>
            <w:tcW w:type="dxa" w:w="1120"/>
            <w:tcBorders>
              <w:top w:val="single" w:color="CCCCCC" w:sz="1"/>
              <w:left w:val="single" w:color="CCCCCC" w:sz="1"/>
              <w:bottom w:val="single" w:color="CCCCCC" w:sz="1"/>
              <w:right w:val="single" w:color="CCCCCC" w:sz="1"/>
            </w:tcBorders>
            <w:shd w:fill="FCE4D6" w:val="clear"/>
            <w:tcMar>
              <w:top w:type="dxa" w:w="80"/>
              <w:left w:type="dxa" w:w="140"/>
              <w:bottom w:type="dxa" w:w="80"/>
              <w:right w:type="dxa" w:w="140"/>
            </w:tcMar>
          </w:tcPr>
          <w:p>
            <w:r>
              <w:rPr>
                <w:rFonts w:ascii="Arial" w:cs="Arial" w:eastAsia="Arial" w:hAnsi="Arial"/>
                <w:b/>
                <w:bCs/>
                <w:sz w:val="22"/>
                <w:szCs w:val="22"/>
              </w:rPr>
              <w:t xml:space="preserve">ORCL</w:t>
            </w:r>
          </w:p>
        </w:tc>
        <w:tc>
          <w:tcPr>
            <w:tcW w:type="dxa" w:w="1200"/>
            <w:tcBorders>
              <w:top w:val="single" w:color="CCCCCC" w:sz="1"/>
              <w:left w:val="single" w:color="CCCCCC" w:sz="1"/>
              <w:bottom w:val="single" w:color="CCCCCC" w:sz="1"/>
              <w:right w:val="single" w:color="CCCCCC" w:sz="1"/>
            </w:tcBorders>
            <w:shd w:fill="FCE4D6" w:val="clear"/>
            <w:tcMar>
              <w:top w:type="dxa" w:w="80"/>
              <w:left w:type="dxa" w:w="140"/>
              <w:bottom w:type="dxa" w:w="80"/>
              <w:right w:type="dxa" w:w="140"/>
            </w:tcMar>
          </w:tcPr>
          <w:p>
            <w:r>
              <w:rPr>
                <w:rFonts w:ascii="Arial" w:cs="Arial" w:eastAsia="Arial" w:hAnsi="Arial"/>
                <w:sz w:val="22"/>
                <w:szCs w:val="22"/>
              </w:rPr>
              <w:t xml:space="preserve">+10.84%</w:t>
            </w:r>
          </w:p>
        </w:tc>
        <w:tc>
          <w:tcPr>
            <w:tcW w:type="dxa" w:w="1200"/>
            <w:tcBorders>
              <w:top w:val="single" w:color="CCCCCC" w:sz="1"/>
              <w:left w:val="single" w:color="CCCCCC" w:sz="1"/>
              <w:bottom w:val="single" w:color="CCCCCC" w:sz="1"/>
              <w:right w:val="single" w:color="CCCCCC" w:sz="1"/>
            </w:tcBorders>
            <w:shd w:fill="FCE4D6" w:val="clear"/>
            <w:tcMar>
              <w:top w:type="dxa" w:w="80"/>
              <w:left w:type="dxa" w:w="140"/>
              <w:bottom w:type="dxa" w:w="80"/>
              <w:right w:type="dxa" w:w="140"/>
            </w:tcMar>
          </w:tcPr>
          <w:p>
            <w:r>
              <w:rPr>
                <w:rFonts w:ascii="Arial" w:cs="Arial" w:eastAsia="Arial" w:hAnsi="Arial"/>
                <w:sz w:val="22"/>
                <w:szCs w:val="22"/>
              </w:rPr>
              <w:t xml:space="preserve">+0.03%</w:t>
            </w:r>
          </w:p>
        </w:tc>
        <w:tc>
          <w:tcPr>
            <w:tcW w:type="dxa" w:w="1200"/>
            <w:tcBorders>
              <w:top w:val="single" w:color="CCCCCC" w:sz="1"/>
              <w:left w:val="single" w:color="CCCCCC" w:sz="1"/>
              <w:bottom w:val="single" w:color="CCCCCC" w:sz="1"/>
              <w:right w:val="single" w:color="CCCCCC" w:sz="1"/>
            </w:tcBorders>
            <w:shd w:fill="FCE4D6" w:val="clear"/>
            <w:tcMar>
              <w:top w:type="dxa" w:w="80"/>
              <w:left w:type="dxa" w:w="140"/>
              <w:bottom w:type="dxa" w:w="80"/>
              <w:right w:type="dxa" w:w="140"/>
            </w:tcMar>
          </w:tcPr>
          <w:p>
            <w:r>
              <w:rPr>
                <w:rFonts w:ascii="Arial" w:cs="Arial" w:eastAsia="Arial" w:hAnsi="Arial"/>
                <w:sz w:val="22"/>
                <w:szCs w:val="22"/>
              </w:rPr>
              <w:t xml:space="preserve">-10.81%</w:t>
            </w:r>
          </w:p>
        </w:tc>
        <w:tc>
          <w:tcPr>
            <w:tcW w:type="dxa" w:w="960"/>
            <w:tcBorders>
              <w:top w:val="single" w:color="CCCCCC" w:sz="1"/>
              <w:left w:val="single" w:color="CCCCCC" w:sz="1"/>
              <w:bottom w:val="single" w:color="CCCCCC" w:sz="1"/>
              <w:right w:val="single" w:color="CCCCCC" w:sz="1"/>
            </w:tcBorders>
            <w:shd w:fill="FCE4D6" w:val="clear"/>
            <w:tcMar>
              <w:top w:type="dxa" w:w="80"/>
              <w:left w:type="dxa" w:w="140"/>
              <w:bottom w:type="dxa" w:w="80"/>
              <w:right w:type="dxa" w:w="140"/>
            </w:tcMar>
          </w:tcPr>
          <w:p>
            <w:r>
              <w:rPr>
                <w:rFonts w:ascii="Arial" w:cs="Arial" w:eastAsia="Arial" w:hAnsi="Arial"/>
                <w:sz w:val="22"/>
                <w:szCs w:val="22"/>
              </w:rPr>
              <w:t xml:space="preserve">0.579</w:t>
            </w:r>
          </w:p>
        </w:tc>
        <w:tc>
          <w:tcPr>
            <w:tcW w:type="dxa" w:w="1240"/>
            <w:tcBorders>
              <w:top w:val="single" w:color="CCCCCC" w:sz="1"/>
              <w:left w:val="single" w:color="CCCCCC" w:sz="1"/>
              <w:bottom w:val="single" w:color="CCCCCC" w:sz="1"/>
              <w:right w:val="single" w:color="CCCCCC" w:sz="1"/>
            </w:tcBorders>
            <w:shd w:fill="FCE4D6" w:val="clear"/>
            <w:tcMar>
              <w:top w:type="dxa" w:w="80"/>
              <w:left w:type="dxa" w:w="140"/>
              <w:bottom w:type="dxa" w:w="80"/>
              <w:right w:type="dxa" w:w="140"/>
            </w:tcMar>
          </w:tcPr>
          <w:p>
            <w:r>
              <w:rPr>
                <w:rFonts w:ascii="Arial" w:cs="Arial" w:eastAsia="Arial" w:hAnsi="Arial"/>
                <w:b/>
                <w:bCs/>
                <w:sz w:val="22"/>
                <w:szCs w:val="22"/>
              </w:rPr>
              <w:t xml:space="preserve">-6.26%</w:t>
            </w:r>
          </w:p>
        </w:tc>
        <w:tc>
          <w:tcPr>
            <w:tcW w:type="dxa" w:w="1160"/>
            <w:tcBorders>
              <w:top w:val="single" w:color="CCCCCC" w:sz="1"/>
              <w:left w:val="single" w:color="CCCCCC" w:sz="1"/>
              <w:bottom w:val="single" w:color="CCCCCC" w:sz="1"/>
              <w:right w:val="single" w:color="CCCCCC" w:sz="1"/>
            </w:tcBorders>
            <w:shd w:fill="FCE4D6" w:val="clear"/>
            <w:tcMar>
              <w:top w:type="dxa" w:w="80"/>
              <w:left w:type="dxa" w:w="140"/>
              <w:bottom w:type="dxa" w:w="80"/>
              <w:right w:type="dxa" w:w="140"/>
            </w:tcMar>
          </w:tcPr>
          <w:p>
            <w:r>
              <w:rPr>
                <w:rFonts w:ascii="Arial" w:cs="Arial" w:eastAsia="Arial" w:hAnsi="Arial"/>
                <w:sz w:val="22"/>
                <w:szCs w:val="22"/>
              </w:rPr>
              <w:t xml:space="preserve">20.6%</w:t>
            </w:r>
          </w:p>
        </w:tc>
      </w:tr>
      <w:tr>
        <w:tc>
          <w:tcPr>
            <w:tcW w:type="dxa" w:w="1120"/>
            <w:tcBorders>
              <w:top w:val="single" w:color="CCCCCC" w:sz="1"/>
              <w:left w:val="single" w:color="CCCCCC" w:sz="1"/>
              <w:bottom w:val="single" w:color="CCCCCC" w:sz="1"/>
              <w:right w:val="single" w:color="CCCCCC" w:sz="1"/>
            </w:tcBorders>
            <w:shd w:fill="FCE4D6" w:val="clear"/>
            <w:tcMar>
              <w:top w:type="dxa" w:w="80"/>
              <w:left w:type="dxa" w:w="140"/>
              <w:bottom w:type="dxa" w:w="80"/>
              <w:right w:type="dxa" w:w="140"/>
            </w:tcMar>
          </w:tcPr>
          <w:p>
            <w:r>
              <w:rPr>
                <w:rFonts w:ascii="Arial" w:cs="Arial" w:eastAsia="Arial" w:hAnsi="Arial"/>
                <w:b/>
                <w:bCs/>
                <w:sz w:val="22"/>
                <w:szCs w:val="22"/>
              </w:rPr>
              <w:t xml:space="preserve">CRM</w:t>
            </w:r>
          </w:p>
        </w:tc>
        <w:tc>
          <w:tcPr>
            <w:tcW w:type="dxa" w:w="1200"/>
            <w:tcBorders>
              <w:top w:val="single" w:color="CCCCCC" w:sz="1"/>
              <w:left w:val="single" w:color="CCCCCC" w:sz="1"/>
              <w:bottom w:val="single" w:color="CCCCCC" w:sz="1"/>
              <w:right w:val="single" w:color="CCCCCC" w:sz="1"/>
            </w:tcBorders>
            <w:shd w:fill="FCE4D6" w:val="clear"/>
            <w:tcMar>
              <w:top w:type="dxa" w:w="80"/>
              <w:left w:type="dxa" w:w="140"/>
              <w:bottom w:type="dxa" w:w="80"/>
              <w:right w:type="dxa" w:w="140"/>
            </w:tcMar>
          </w:tcPr>
          <w:p>
            <w:r>
              <w:rPr>
                <w:rFonts w:ascii="Arial" w:cs="Arial" w:eastAsia="Arial" w:hAnsi="Arial"/>
                <w:sz w:val="22"/>
                <w:szCs w:val="22"/>
              </w:rPr>
              <w:t xml:space="preserve">+8.47%</w:t>
            </w:r>
          </w:p>
        </w:tc>
        <w:tc>
          <w:tcPr>
            <w:tcW w:type="dxa" w:w="1200"/>
            <w:tcBorders>
              <w:top w:val="single" w:color="CCCCCC" w:sz="1"/>
              <w:left w:val="single" w:color="CCCCCC" w:sz="1"/>
              <w:bottom w:val="single" w:color="CCCCCC" w:sz="1"/>
              <w:right w:val="single" w:color="CCCCCC" w:sz="1"/>
            </w:tcBorders>
            <w:shd w:fill="FCE4D6" w:val="clear"/>
            <w:tcMar>
              <w:top w:type="dxa" w:w="80"/>
              <w:left w:type="dxa" w:w="140"/>
              <w:bottom w:type="dxa" w:w="80"/>
              <w:right w:type="dxa" w:w="140"/>
            </w:tcMar>
          </w:tcPr>
          <w:p>
            <w:r>
              <w:rPr>
                <w:rFonts w:ascii="Arial" w:cs="Arial" w:eastAsia="Arial" w:hAnsi="Arial"/>
                <w:sz w:val="22"/>
                <w:szCs w:val="22"/>
              </w:rPr>
              <w:t xml:space="preserve">-0.19%</w:t>
            </w:r>
          </w:p>
        </w:tc>
        <w:tc>
          <w:tcPr>
            <w:tcW w:type="dxa" w:w="1200"/>
            <w:tcBorders>
              <w:top w:val="single" w:color="CCCCCC" w:sz="1"/>
              <w:left w:val="single" w:color="CCCCCC" w:sz="1"/>
              <w:bottom w:val="single" w:color="CCCCCC" w:sz="1"/>
              <w:right w:val="single" w:color="CCCCCC" w:sz="1"/>
            </w:tcBorders>
            <w:shd w:fill="FCE4D6" w:val="clear"/>
            <w:tcMar>
              <w:top w:type="dxa" w:w="80"/>
              <w:left w:type="dxa" w:w="140"/>
              <w:bottom w:type="dxa" w:w="80"/>
              <w:right w:type="dxa" w:w="140"/>
            </w:tcMar>
          </w:tcPr>
          <w:p>
            <w:r>
              <w:rPr>
                <w:rFonts w:ascii="Arial" w:cs="Arial" w:eastAsia="Arial" w:hAnsi="Arial"/>
                <w:sz w:val="22"/>
                <w:szCs w:val="22"/>
              </w:rPr>
              <w:t xml:space="preserve">-8.67%</w:t>
            </w:r>
          </w:p>
        </w:tc>
        <w:tc>
          <w:tcPr>
            <w:tcW w:type="dxa" w:w="960"/>
            <w:tcBorders>
              <w:top w:val="single" w:color="CCCCCC" w:sz="1"/>
              <w:left w:val="single" w:color="CCCCCC" w:sz="1"/>
              <w:bottom w:val="single" w:color="CCCCCC" w:sz="1"/>
              <w:right w:val="single" w:color="CCCCCC" w:sz="1"/>
            </w:tcBorders>
            <w:shd w:fill="FCE4D6" w:val="clear"/>
            <w:tcMar>
              <w:top w:type="dxa" w:w="80"/>
              <w:left w:type="dxa" w:w="140"/>
              <w:bottom w:type="dxa" w:w="80"/>
              <w:right w:type="dxa" w:w="140"/>
            </w:tcMar>
          </w:tcPr>
          <w:p>
            <w:r>
              <w:rPr>
                <w:rFonts w:ascii="Arial" w:cs="Arial" w:eastAsia="Arial" w:hAnsi="Arial"/>
                <w:sz w:val="22"/>
                <w:szCs w:val="22"/>
              </w:rPr>
              <w:t xml:space="preserve">0.596</w:t>
            </w:r>
          </w:p>
        </w:tc>
        <w:tc>
          <w:tcPr>
            <w:tcW w:type="dxa" w:w="1240"/>
            <w:tcBorders>
              <w:top w:val="single" w:color="CCCCCC" w:sz="1"/>
              <w:left w:val="single" w:color="CCCCCC" w:sz="1"/>
              <w:bottom w:val="single" w:color="CCCCCC" w:sz="1"/>
              <w:right w:val="single" w:color="CCCCCC" w:sz="1"/>
            </w:tcBorders>
            <w:shd w:fill="FCE4D6" w:val="clear"/>
            <w:tcMar>
              <w:top w:type="dxa" w:w="80"/>
              <w:left w:type="dxa" w:w="140"/>
              <w:bottom w:type="dxa" w:w="80"/>
              <w:right w:type="dxa" w:w="140"/>
            </w:tcMar>
          </w:tcPr>
          <w:p>
            <w:r>
              <w:rPr>
                <w:rFonts w:ascii="Arial" w:cs="Arial" w:eastAsia="Arial" w:hAnsi="Arial"/>
                <w:b/>
                <w:bCs/>
                <w:sz w:val="22"/>
                <w:szCs w:val="22"/>
              </w:rPr>
              <w:t xml:space="preserve">-5.17%</w:t>
            </w:r>
          </w:p>
        </w:tc>
        <w:tc>
          <w:tcPr>
            <w:tcW w:type="dxa" w:w="1160"/>
            <w:tcBorders>
              <w:top w:val="single" w:color="CCCCCC" w:sz="1"/>
              <w:left w:val="single" w:color="CCCCCC" w:sz="1"/>
              <w:bottom w:val="single" w:color="CCCCCC" w:sz="1"/>
              <w:right w:val="single" w:color="CCCCCC" w:sz="1"/>
            </w:tcBorders>
            <w:shd w:fill="FCE4D6" w:val="clear"/>
            <w:tcMar>
              <w:top w:type="dxa" w:w="80"/>
              <w:left w:type="dxa" w:w="140"/>
              <w:bottom w:type="dxa" w:w="80"/>
              <w:right w:type="dxa" w:w="140"/>
            </w:tcMar>
          </w:tcPr>
          <w:p>
            <w:r>
              <w:rPr>
                <w:rFonts w:ascii="Arial" w:cs="Arial" w:eastAsia="Arial" w:hAnsi="Arial"/>
                <w:sz w:val="22"/>
                <w:szCs w:val="22"/>
              </w:rPr>
              <w:t xml:space="preserve">29.5%</w:t>
            </w:r>
          </w:p>
        </w:tc>
      </w:tr>
    </w:tbl>
    <w:p>
      <w:pPr>
        <w:spacing w:after="0" w:before="0"/>
      </w:pPr>
      <w:r>
        <w:t xml:space="preserve"/>
      </w:r>
    </w:p>
    <w:p>
      <w:pPr>
        <w:spacing w:after="60" w:before="60"/>
      </w:pPr>
      <w:r>
        <w:rPr>
          <w:rFonts w:ascii="Arial" w:cs="Arial" w:eastAsia="Arial" w:hAnsi="Arial"/>
          <w:sz w:val="22"/>
          <w:szCs w:val="22"/>
        </w:rPr>
        <w:t xml:space="preserve">Green = top long candidates (stock fell more than factors justify). Red = outperformers (stock outran factors — fade or avoid).</w:t>
      </w:r>
    </w:p>
    <w:p>
      <w:pPr>
        <w:shd w:fill="FFF2CC" w:val="clear"/>
        <w:spacing w:after="120" w:before="120"/>
        <w:ind w:left="240" w:right="240"/>
      </w:pPr>
      <w:r>
        <w:rPr>
          <w:rFonts w:ascii="Arial" w:cs="Arial" w:eastAsia="Arial" w:hAnsi="Arial"/>
          <w:sz w:val="22"/>
          <w:szCs w:val="22"/>
        </w:rPr>
        <w:t xml:space="preserve">⚠  Never trade a stock with R² &lt; 0.30. KO (R²=0.242), WMT (R²=0.088) appear in today's top 20 but should be discarded — the factor model cannot explain them.</w:t>
      </w:r>
    </w:p>
    <w:p>
      <w:pPr>
        <w:spacing w:after="0" w:before="0"/>
      </w:pPr>
      <w:r>
        <w:t xml:space="preserve"/>
      </w:r>
    </w:p>
    <w:p>
      <w:pPr>
        <w:pStyle w:val="Heading2"/>
        <w:spacing w:after="80" w:before="240"/>
      </w:pPr>
      <w:r>
        <w:rPr>
          <w:rFonts w:ascii="Arial" w:cs="Arial" w:eastAsia="Arial" w:hAnsi="Arial"/>
          <w:b/>
          <w:bCs/>
          <w:color w:val="2E75B6"/>
          <w:sz w:val="28"/>
          <w:szCs w:val="28"/>
        </w:rPr>
        <w:t xml:space="preserve">Column reference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c>
          <w:tcPr>
            <w:tcW w:type="dxa" w:w="140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center"/>
          </w:tcPr>
          <w:p>
            <w:r>
              <w:rPr>
                <w:rFonts w:ascii="Arial" w:cs="Arial" w:eastAsia="Arial" w:hAnsi="Arial"/>
                <w:b/>
                <w:bCs/>
                <w:color w:val="FFFFFF"/>
                <w:sz w:val="22"/>
                <w:szCs w:val="22"/>
              </w:rPr>
              <w:t xml:space="preserve">Column</w:t>
            </w:r>
          </w:p>
        </w:tc>
        <w:tc>
          <w:tcPr>
            <w:tcW w:type="dxa" w:w="868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center"/>
          </w:tcPr>
          <w:p>
            <w:r>
              <w:rPr>
                <w:rFonts w:ascii="Arial" w:cs="Arial" w:eastAsia="Arial" w:hAnsi="Arial"/>
                <w:b/>
                <w:bCs/>
                <w:color w:val="FFFFFF"/>
                <w:sz w:val="22"/>
                <w:szCs w:val="22"/>
              </w:rPr>
              <w:t xml:space="preserve">Meaning</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Actual</w:t>
            </w:r>
          </w:p>
        </w:tc>
        <w:tc>
          <w:tcPr>
            <w:tcW w:type="dxa" w:w="868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Today's observed return (close-to-close, or open-to-now intraday).</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Exp.Rel</w:t>
            </w:r>
          </w:p>
        </w:tc>
        <w:tc>
          <w:tcPr>
            <w:tcW w:type="dxa" w:w="8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What the factor model predicted, relative to market. On 2026-05-30, factors implied TXN would fall only -0.12% — but TXN fell -3.25%.</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Delta</w:t>
            </w:r>
          </w:p>
        </w:tc>
        <w:tc>
          <w:tcPr>
            <w:tcW w:type="dxa" w:w="868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Exp.Rel minus Actual. Positive = stock fell more than factors justify = long signal. TXN's +3.13% delta is the primary reason it ranks first.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R²</w:t>
            </w:r>
          </w:p>
        </w:tc>
        <w:tc>
          <w:tcPr>
            <w:tcW w:type="dxa" w:w="8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Model fit quality. CPRT (0.812) and TXN (0.645) are well-explained by macro factors. LHX (0.175) and WMT (0.088) are not — discard their signals.</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Conf.Δ</w:t>
            </w:r>
          </w:p>
        </w:tc>
        <w:tc>
          <w:tcPr>
            <w:tcW w:type="dxa" w:w="868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Delta × R² — conviction-weighted signal. Primary ranking column. TXN's +3.13% delta × 0.645 R² = +2.02% Conf.Δ.</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Res.Vol</w:t>
            </w:r>
          </w:p>
        </w:tc>
        <w:tc>
          <w:tcPr>
            <w:tcW w:type="dxa" w:w="8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Annualised unexplained volatility. Use for stop sizing — wider residual vol = wider stops needed.</w:t>
            </w:r>
          </w:p>
        </w:tc>
      </w:tr>
    </w:tbl>
    <w:p>
      <w:pPr>
        <w:spacing w:after="0" w:before="0"/>
      </w:pPr>
      <w:r>
        <w:t xml:space="preserve"/>
      </w:r>
    </w:p>
    <w:p>
      <w:pPr>
        <w:pStyle w:val="Heading2"/>
        <w:spacing w:after="80" w:before="240"/>
      </w:pPr>
      <w:r>
        <w:rPr>
          <w:rFonts w:ascii="Arial" w:cs="Arial" w:eastAsia="Arial" w:hAnsi="Arial"/>
          <w:b/>
          <w:bCs/>
          <w:color w:val="2E75B6"/>
          <w:sz w:val="28"/>
          <w:szCs w:val="28"/>
        </w:rPr>
        <w:t xml:space="preserve">Key flags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28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center"/>
          </w:tcPr>
          <w:p>
            <w:r>
              <w:rPr>
                <w:rFonts w:ascii="Arial" w:cs="Arial" w:eastAsia="Arial" w:hAnsi="Arial"/>
                <w:b/>
                <w:bCs/>
                <w:color w:val="FFFFFF"/>
                <w:sz w:val="22"/>
                <w:szCs w:val="22"/>
              </w:rPr>
              <w:t xml:space="preserve">Command</w:t>
            </w:r>
          </w:p>
        </w:tc>
        <w:tc>
          <w:tcPr>
            <w:tcW w:type="dxa" w:w="240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center"/>
          </w:tcPr>
          <w:p>
            <w:r>
              <w:rPr>
                <w:rFonts w:ascii="Arial" w:cs="Arial" w:eastAsia="Arial" w:hAnsi="Arial"/>
                <w:b/>
                <w:bCs/>
                <w:color w:val="FFFFFF"/>
                <w:sz w:val="22"/>
                <w:szCs w:val="22"/>
              </w:rPr>
              <w:t xml:space="preserve">Flag</w:t>
            </w:r>
          </w:p>
        </w:tc>
        <w:tc>
          <w:tcPr>
            <w:tcW w:type="dxa" w:w="528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center"/>
          </w:tcPr>
          <w:p>
            <w:r>
              <w:rPr>
                <w:rFonts w:ascii="Arial" w:cs="Arial" w:eastAsia="Arial" w:hAnsi="Arial"/>
                <w:b/>
                <w:bCs/>
                <w:color w:val="FFFFFF"/>
                <w:sz w:val="22"/>
                <w:szCs w:val="22"/>
              </w:rPr>
              <w:t xml:space="preserve">Effect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Courier New" w:cs="Courier New" w:eastAsia="Courier New" w:hAnsi="Courier New"/>
                <w:sz w:val="20"/>
                <w:szCs w:val="20"/>
              </w:rPr>
              <w:t xml:space="preserve">shockarb score</w:t>
            </w:r>
          </w:p>
        </w:tc>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Courier New" w:cs="Courier New" w:eastAsia="Courier New" w:hAnsi="Courier New"/>
                <w:sz w:val="20"/>
                <w:szCs w:val="20"/>
              </w:rPr>
              <w:t xml:space="preserve">--top 30</w:t>
            </w:r>
          </w:p>
        </w:tc>
        <w:tc>
          <w:tcPr>
            <w:tcW w:type="dxa" w:w="528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Show up to 30 signals instead of the default 20.</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sz w:val="20"/>
                <w:szCs w:val="20"/>
              </w:rPr>
              <w:t xml:space="preserve">shockarb score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sz w:val="20"/>
                <w:szCs w:val="20"/>
              </w:rPr>
              <w:t xml:space="preserve">--min-r-squared 0.50</w:t>
            </w:r>
          </w:p>
        </w:tc>
        <w:tc>
          <w:tcPr>
            <w:tcW w:type="dxa" w:w="52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Only show stocks the model explains well. Recommended for live trading.</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Courier New" w:cs="Courier New" w:eastAsia="Courier New" w:hAnsi="Courier New"/>
                <w:sz w:val="20"/>
                <w:szCs w:val="20"/>
              </w:rPr>
              <w:t xml:space="preserve">shockarb score</w:t>
            </w:r>
          </w:p>
        </w:tc>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Courier New" w:cs="Courier New" w:eastAsia="Courier New" w:hAnsi="Courier New"/>
                <w:sz w:val="20"/>
                <w:szCs w:val="20"/>
              </w:rPr>
              <w:t xml:space="preserve">--min-confidence 0.005</w:t>
            </w:r>
          </w:p>
        </w:tc>
        <w:tc>
          <w:tcPr>
            <w:tcW w:type="dxa" w:w="528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Raise the signal bar to 0.5% conviction.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sz w:val="20"/>
                <w:szCs w:val="20"/>
              </w:rPr>
              <w:t xml:space="preserve">shockarb score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sz w:val="20"/>
                <w:szCs w:val="20"/>
              </w:rPr>
              <w:t xml:space="preserve">--out data\alpha.csv</w:t>
            </w:r>
          </w:p>
        </w:tc>
        <w:tc>
          <w:tcPr>
            <w:tcW w:type="dxa" w:w="52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Save full results to CSV for portfolio_sizer.py.</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Courier New" w:cs="Courier New" w:eastAsia="Courier New" w:hAnsi="Courier New"/>
                <w:sz w:val="20"/>
                <w:szCs w:val="20"/>
              </w:rPr>
              <w:t xml:space="preserve">shockarb score</w:t>
            </w:r>
          </w:p>
        </w:tc>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Courier New" w:cs="Courier New" w:eastAsia="Courier New" w:hAnsi="Courier New"/>
                <w:sz w:val="20"/>
                <w:szCs w:val="20"/>
              </w:rPr>
              <w:t xml:space="preserve">--date 2022-03-01</w:t>
            </w:r>
          </w:p>
        </w:tc>
        <w:tc>
          <w:tcPr>
            <w:tcW w:type="dxa" w:w="528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Score a historical date instead of today.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sz w:val="20"/>
                <w:szCs w:val="20"/>
              </w:rPr>
              <w:t xml:space="preserve">shockarb score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sz w:val="20"/>
                <w:szCs w:val="20"/>
              </w:rPr>
              <w:t xml:space="preserve">--from-open</w:t>
            </w:r>
          </w:p>
        </w:tc>
        <w:tc>
          <w:tcPr>
            <w:tcW w:type="dxa" w:w="52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Use today's open as denominator (intraday mode).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Courier New" w:cs="Courier New" w:eastAsia="Courier New" w:hAnsi="Courier New"/>
                <w:sz w:val="20"/>
                <w:szCs w:val="20"/>
              </w:rPr>
              <w:t xml:space="preserve">shockarb score</w:t>
            </w:r>
          </w:p>
        </w:tc>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Courier New" w:cs="Courier New" w:eastAsia="Courier New" w:hAnsi="Courier New"/>
                <w:sz w:val="20"/>
                <w:szCs w:val="20"/>
              </w:rPr>
              <w:t xml:space="preserve">--save-recent</w:t>
            </w:r>
          </w:p>
        </w:tc>
        <w:tc>
          <w:tcPr>
            <w:tcW w:type="dxa" w:w="528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Append today's scores to the rolling archive for regime health tracking.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sz w:val="20"/>
                <w:szCs w:val="20"/>
              </w:rPr>
              <w:t xml:space="preserve">regime-health</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sz w:val="20"/>
                <w:szCs w:val="20"/>
              </w:rPr>
              <w:t xml:space="preserve">(no flags)</w:t>
            </w:r>
          </w:p>
        </w:tc>
        <w:tc>
          <w:tcPr>
            <w:tcW w:type="dxa" w:w="52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Show SNR-based regime health table from the rolling archive.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Courier New" w:cs="Courier New" w:eastAsia="Courier New" w:hAnsi="Courier New"/>
                <w:sz w:val="20"/>
                <w:szCs w:val="20"/>
              </w:rPr>
              <w:t xml:space="preserve">portfolio_sizer.py</w:t>
            </w:r>
          </w:p>
        </w:tc>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Courier New" w:cs="Courier New" w:eastAsia="Courier New" w:hAnsi="Courier New"/>
                <w:sz w:val="20"/>
                <w:szCs w:val="20"/>
              </w:rPr>
              <w:t xml:space="preserve">--capital 50000 --top 3</w:t>
            </w:r>
          </w:p>
        </w:tc>
        <w:tc>
          <w:tcPr>
            <w:tcW w:type="dxa" w:w="528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Size $50k across top 3 signals.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sz w:val="20"/>
                <w:szCs w:val="20"/>
              </w:rPr>
              <w:t xml:space="preserve">news_scanner.py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sz w:val="20"/>
                <w:szCs w:val="20"/>
              </w:rPr>
              <w:t xml:space="preserve">--top 5</w:t>
            </w:r>
          </w:p>
        </w:tc>
        <w:tc>
          <w:tcPr>
            <w:tcW w:type="dxa" w:w="52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Fetch headlines for top 5 signals.</w:t>
            </w:r>
          </w:p>
        </w:tc>
      </w:tr>
    </w:tbl>
    <w:p>
      <w:r>
        <w:br w:type="page"/>
      </w:r>
    </w:p>
    <w:p>
      <w:pPr>
        <w:pStyle w:val="Heading1"/>
        <w:spacing w:after="120" w:before="360"/>
      </w:pPr>
      <w:r>
        <w:rPr>
          <w:rFonts w:ascii="Arial" w:cs="Arial" w:eastAsia="Arial" w:hAnsi="Arial"/>
          <w:b/>
          <w:bCs/>
          <w:color w:val="1F4E79"/>
          <w:sz w:val="36"/>
          <w:szCs w:val="36"/>
        </w:rPr>
        <w:t xml:space="preserve">1  How ShockArb Works</w:t>
      </w:r>
    </w:p>
    <w:p>
      <w:pPr>
        <w:spacing w:after="60" w:before="60"/>
      </w:pPr>
      <w:r>
        <w:rPr>
          <w:rFonts w:ascii="Arial" w:cs="Arial" w:eastAsia="Arial" w:hAnsi="Arial"/>
          <w:sz w:val="22"/>
          <w:szCs w:val="22"/>
        </w:rPr>
        <w:t xml:space="preserve">ShockArb is a two-stage factor model. Understanding the math helps you judge when to trust a signal and when to be skeptical.</w:t>
      </w:r>
    </w:p>
    <w:p>
      <w:pPr>
        <w:spacing w:after="0" w:before="0"/>
      </w:pPr>
      <w:r>
        <w:t xml:space="preserve"/>
      </w:r>
    </w:p>
    <w:p>
      <w:pPr>
        <w:pStyle w:val="Heading2"/>
        <w:spacing w:after="80" w:before="240"/>
      </w:pPr>
      <w:r>
        <w:rPr>
          <w:rFonts w:ascii="Arial" w:cs="Arial" w:eastAsia="Arial" w:hAnsi="Arial"/>
          <w:b/>
          <w:bCs/>
          <w:color w:val="2E75B6"/>
          <w:sz w:val="28"/>
          <w:szCs w:val="28"/>
        </w:rPr>
        <w:t xml:space="preserve">1.1  Stage 1 — Factor extraction (ETF SVD)</w:t>
      </w:r>
    </w:p>
    <w:p>
      <w:pPr>
        <w:spacing w:after="60" w:before="60"/>
      </w:pPr>
      <w:r>
        <w:rPr>
          <w:rFonts w:ascii="Arial" w:cs="Arial" w:eastAsia="Arial" w:hAnsi="Arial"/>
          <w:sz w:val="22"/>
          <w:szCs w:val="22"/>
        </w:rPr>
        <w:t xml:space="preserve">During the calibration window (Feb 10 – Mar 31 2022), ShockArb downloads daily returns for 19 macro ETFs spanning equities, bonds, energy, gold, defense, and real estate. It mean-centres the return matrix and runs Singular Value Decomposition (SVD), retaining the top 3 principal components.</w:t>
      </w:r>
    </w:p>
    <w:p>
      <w:pPr>
        <w:spacing w:after="0" w:before="0"/>
      </w:pPr>
      <w:r>
        <w:t xml:space="preserve"/>
      </w:r>
    </w:p>
    <w:p>
      <w:pPr>
        <w:spacing w:after="60" w:before="60"/>
      </w:pPr>
      <w:r>
        <w:rPr>
          <w:rFonts w:ascii="Arial" w:cs="Arial" w:eastAsia="Arial" w:hAnsi="Arial"/>
          <w:sz w:val="22"/>
          <w:szCs w:val="22"/>
        </w:rPr>
        <w:t xml:space="preserve">From the current ukraine_shock model (34 trading days, 19 ETFs):</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shockarb show</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w:r>
    </w:p>
    <w:p>
      <w:pPr>
        <w:pBdr>
          <w:left w:val="single" w:color="999999" w:sz="6" w:space="8"/>
        </w:pBdr>
        <w:shd w:fill="F4F4F4" w:val="clear"/>
        <w:spacing w:after="0" w:before="0"/>
        <w:ind w:left="240"/>
      </w:pPr>
      <w:r>
        <w:rPr>
          <w:rFonts w:ascii="Courier New" w:cs="Courier New" w:eastAsia="Courier New" w:hAnsi="Courier New"/>
          <w:sz w:val="20"/>
          <w:szCs w:val="20"/>
        </w:rPr>
        <w:t xml:space="preserve">  SHOCKARB MODEL: US</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Regime:  ukraine_shock — Russia-Ukraine invasion shock (Feb-Mar 2022)</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Created: 2026-05-09T15:25:38</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w:r>
    </w:p>
    <w:p>
      <w:pPr>
        <w:pBdr>
          <w:left w:val="single" w:color="999999" w:sz="6" w:space="8"/>
        </w:pBdr>
        <w:shd w:fill="F4F4F4" w:val="clear"/>
        <w:spacing w:after="0" w:before="0"/>
        <w:ind w:left="240"/>
      </w:pPr>
      <w:r>
        <w:rPr>
          <w:rFonts w:ascii="Courier New" w:cs="Courier New" w:eastAsia="Courier New" w:hAnsi="Courier New"/>
          <w:sz w:val="20"/>
          <w:szCs w:val="20"/>
        </w:rPr>
        <w:t xml:space="preserve">  FactorModel Diagnostics</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Window:    34 days  (2022-02-10 to 2022-03-31)</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ETFs:      19  |  Stocks: 66  |  Factors: 3</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Cumulative variance explained: 86.5%</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Per-factor: ['56.6%', '24.1%', '5.8%']</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Stock R² range: [0.175, 0.909]</w:t>
      </w:r>
    </w:p>
    <w:p>
      <w:pPr>
        <w:spacing w:after="0" w:before="0"/>
      </w:pPr>
      <w:r>
        <w:t xml:space="preserve"/>
      </w:r>
    </w:p>
    <w:p>
      <w:pPr>
        <w:spacing w:after="60" w:before="60"/>
      </w:pPr>
      <w:r>
        <w:rPr>
          <w:rFonts w:ascii="Arial" w:cs="Arial" w:eastAsia="Arial" w:hAnsi="Arial"/>
          <w:sz w:val="22"/>
          <w:szCs w:val="22"/>
        </w:rPr>
        <w:t xml:space="preserve">The three factors from the current calibration (top ETF loadings per factor):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3000"/>
        <w:gridCol w:w="3880"/>
      </w:tblGrid>
      <w:tr>
        <w:tc>
          <w:tcPr>
            <w:tcW w:type="dxa" w:w="120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center"/>
          </w:tcPr>
          <w:p>
            <w:r>
              <w:rPr>
                <w:rFonts w:ascii="Arial" w:cs="Arial" w:eastAsia="Arial" w:hAnsi="Arial"/>
                <w:b/>
                <w:bCs/>
                <w:color w:val="FFFFFF"/>
                <w:sz w:val="22"/>
                <w:szCs w:val="22"/>
              </w:rPr>
              <w:t xml:space="preserve">Factor</w:t>
            </w:r>
          </w:p>
        </w:tc>
        <w:tc>
          <w:tcPr>
            <w:tcW w:type="dxa" w:w="200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center"/>
          </w:tcPr>
          <w:p>
            <w:r>
              <w:rPr>
                <w:rFonts w:ascii="Arial" w:cs="Arial" w:eastAsia="Arial" w:hAnsi="Arial"/>
                <w:b/>
                <w:bCs/>
                <w:color w:val="FFFFFF"/>
                <w:sz w:val="22"/>
                <w:szCs w:val="22"/>
              </w:rPr>
              <w:t xml:space="preserve">Variance</w:t>
            </w:r>
          </w:p>
        </w:tc>
        <w:tc>
          <w:tcPr>
            <w:tcW w:type="dxa" w:w="300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center"/>
          </w:tcPr>
          <w:p>
            <w:r>
              <w:rPr>
                <w:rFonts w:ascii="Arial" w:cs="Arial" w:eastAsia="Arial" w:hAnsi="Arial"/>
                <w:b/>
                <w:bCs/>
                <w:color w:val="FFFFFF"/>
                <w:sz w:val="22"/>
                <w:szCs w:val="22"/>
              </w:rPr>
              <w:t xml:space="preserve">Top ETF loadings</w:t>
            </w:r>
          </w:p>
        </w:tc>
        <w:tc>
          <w:tcPr>
            <w:tcW w:type="dxa" w:w="388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center"/>
          </w:tcPr>
          <w:p>
            <w:r>
              <w:rPr>
                <w:rFonts w:ascii="Arial" w:cs="Arial" w:eastAsia="Arial" w:hAnsi="Arial"/>
                <w:b/>
                <w:bCs/>
                <w:color w:val="FFFFFF"/>
                <w:sz w:val="22"/>
                <w:szCs w:val="22"/>
              </w:rPr>
              <w:t xml:space="preserve">Economic interpretation</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Factor 1</w:t>
            </w:r>
          </w:p>
        </w:tc>
        <w:tc>
          <w:tcPr>
            <w:tcW w:type="dxa" w:w="2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56.6%</w:t>
            </w:r>
          </w:p>
        </w:tc>
        <w:tc>
          <w:tcPr>
            <w:tcW w:type="dxa" w:w="3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XLK +0.318, VUG +0.315, XLF +0.255, USO -0.544</w:t>
            </w:r>
          </w:p>
        </w:tc>
        <w:tc>
          <w:tcPr>
            <w:tcW w:type="dxa" w:w="388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Broad market beta. Tech and growth stocks positive; energy (USO) strongly negative during the shock.</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Factor 2</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24.1%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USO -0.720, VDE -0.347, ITA -0.192</w:t>
            </w:r>
          </w:p>
        </w:tc>
        <w:tc>
          <w:tcPr>
            <w:tcW w:type="dxa" w:w="3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Commodity / energy shock. Negative loading = energy sold off vs. broad market. Captures the oil-driven inflation scare.</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Factor 3</w:t>
            </w:r>
          </w:p>
        </w:tc>
        <w:tc>
          <w:tcPr>
            <w:tcW w:type="dxa" w:w="2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5.8%</w:t>
            </w:r>
          </w:p>
        </w:tc>
        <w:tc>
          <w:tcPr>
            <w:tcW w:type="dxa" w:w="3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VDE +0.367, XLP +0.302, VUG -0.328, XLK -0.305</w:t>
            </w:r>
          </w:p>
        </w:tc>
        <w:tc>
          <w:tcPr>
            <w:tcW w:type="dxa" w:w="388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Defensive rotation. Staples and energy positive; growth/tech negative. Captures flight-to-safety within equities.</w:t>
            </w:r>
          </w:p>
        </w:tc>
      </w:tr>
    </w:tbl>
    <w:p>
      <w:pPr>
        <w:shd w:fill="DEEAF1" w:val="clear"/>
        <w:spacing w:after="120" w:before="120"/>
        <w:ind w:left="240" w:right="240"/>
      </w:pPr>
      <w:r>
        <w:rPr>
          <w:rFonts w:ascii="Arial" w:cs="Arial" w:eastAsia="Arial" w:hAnsi="Arial"/>
          <w:sz w:val="22"/>
          <w:szCs w:val="22"/>
        </w:rPr>
        <w:t xml:space="preserve">ℹ  86.5% cumulative variance (target ≥ 70%) means the three factors explain most of what moved during the Ukraine shock window. This is a well-specified model.</w:t>
      </w:r>
    </w:p>
    <w:p>
      <w:pPr>
        <w:spacing w:after="0" w:before="0"/>
      </w:pPr>
      <w:r>
        <w:t xml:space="preserve"/>
      </w:r>
    </w:p>
    <w:p>
      <w:pPr>
        <w:pStyle w:val="Heading2"/>
        <w:spacing w:after="80" w:before="240"/>
      </w:pPr>
      <w:r>
        <w:rPr>
          <w:rFonts w:ascii="Arial" w:cs="Arial" w:eastAsia="Arial" w:hAnsi="Arial"/>
          <w:b/>
          <w:bCs/>
          <w:color w:val="2E75B6"/>
          <w:sz w:val="28"/>
          <w:szCs w:val="28"/>
        </w:rPr>
        <w:t xml:space="preserve">1.2  Stage 2 — Stock projection (OLS)</w:t>
      </w:r>
    </w:p>
    <w:p>
      <w:pPr>
        <w:spacing w:after="60" w:before="60"/>
      </w:pPr>
      <w:r>
        <w:rPr>
          <w:rFonts w:ascii="Arial" w:cs="Arial" w:eastAsia="Arial" w:hAnsi="Arial"/>
          <w:sz w:val="22"/>
          <w:szCs w:val="22"/>
        </w:rPr>
        <w:t xml:space="preserve">Each of the 66 stocks is regressed (OLS) on the factor return series over the calibration window. From the current model (us_stock_loadings.csv):</w:t>
      </w:r>
    </w:p>
    <w:p>
      <w:pPr>
        <w:spacing w:after="0" w:before="0"/>
      </w:pPr>
      <w:r>
        <w:t xml:space="preserve"/>
      </w:r>
    </w:p>
    <w:p>
      <w:pPr>
        <w:spacing w:after="60" w:before="60"/>
      </w:pPr>
      <w:r>
        <w:rPr>
          <w:rFonts w:ascii="Arial" w:cs="Arial" w:eastAsia="Arial" w:hAnsi="Arial"/>
          <w:sz w:val="22"/>
          <w:szCs w:val="22"/>
        </w:rPr>
        <w:t xml:space="preserve">Best-explained stocks (high R² — signals are most reliable):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00"/>
        <w:gridCol w:w="1000"/>
        <w:gridCol w:w="1200"/>
        <w:gridCol w:w="1200"/>
        <w:gridCol w:w="1200"/>
        <w:gridCol w:w="1600"/>
        <w:gridCol w:w="2680"/>
      </w:tblGrid>
      <w:tr>
        <w:tc>
          <w:tcPr>
            <w:tcW w:type="dxa" w:w="120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center"/>
          </w:tcPr>
          <w:p>
            <w:r>
              <w:rPr>
                <w:rFonts w:ascii="Arial" w:cs="Arial" w:eastAsia="Arial" w:hAnsi="Arial"/>
                <w:b/>
                <w:bCs/>
                <w:color w:val="FFFFFF"/>
                <w:sz w:val="22"/>
                <w:szCs w:val="22"/>
              </w:rPr>
              <w:t xml:space="preserve">Ticker</w:t>
            </w:r>
          </w:p>
        </w:tc>
        <w:tc>
          <w:tcPr>
            <w:tcW w:type="dxa" w:w="100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center"/>
          </w:tcPr>
          <w:p>
            <w:r>
              <w:rPr>
                <w:rFonts w:ascii="Arial" w:cs="Arial" w:eastAsia="Arial" w:hAnsi="Arial"/>
                <w:b/>
                <w:bCs/>
                <w:color w:val="FFFFFF"/>
                <w:sz w:val="22"/>
                <w:szCs w:val="22"/>
              </w:rPr>
              <w:t xml:space="preserve">R²</w:t>
            </w:r>
          </w:p>
        </w:tc>
        <w:tc>
          <w:tcPr>
            <w:tcW w:type="dxa" w:w="120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center"/>
          </w:tcPr>
          <w:p>
            <w:r>
              <w:rPr>
                <w:rFonts w:ascii="Arial" w:cs="Arial" w:eastAsia="Arial" w:hAnsi="Arial"/>
                <w:b/>
                <w:bCs/>
                <w:color w:val="FFFFFF"/>
                <w:sz w:val="22"/>
                <w:szCs w:val="22"/>
              </w:rPr>
              <w:t xml:space="preserve">Factor 1</w:t>
            </w:r>
          </w:p>
        </w:tc>
        <w:tc>
          <w:tcPr>
            <w:tcW w:type="dxa" w:w="120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center"/>
          </w:tcPr>
          <w:p>
            <w:r>
              <w:rPr>
                <w:rFonts w:ascii="Arial" w:cs="Arial" w:eastAsia="Arial" w:hAnsi="Arial"/>
                <w:b/>
                <w:bCs/>
                <w:color w:val="FFFFFF"/>
                <w:sz w:val="22"/>
                <w:szCs w:val="22"/>
              </w:rPr>
              <w:t xml:space="preserve">Factor 2</w:t>
            </w:r>
          </w:p>
        </w:tc>
        <w:tc>
          <w:tcPr>
            <w:tcW w:type="dxa" w:w="120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center"/>
          </w:tcPr>
          <w:p>
            <w:r>
              <w:rPr>
                <w:rFonts w:ascii="Arial" w:cs="Arial" w:eastAsia="Arial" w:hAnsi="Arial"/>
                <w:b/>
                <w:bCs/>
                <w:color w:val="FFFFFF"/>
                <w:sz w:val="22"/>
                <w:szCs w:val="22"/>
              </w:rPr>
              <w:t xml:space="preserve">Factor 3</w:t>
            </w:r>
          </w:p>
        </w:tc>
        <w:tc>
          <w:tcPr>
            <w:tcW w:type="dxa" w:w="160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center"/>
          </w:tcPr>
          <w:p>
            <w:r>
              <w:rPr>
                <w:rFonts w:ascii="Arial" w:cs="Arial" w:eastAsia="Arial" w:hAnsi="Arial"/>
                <w:b/>
                <w:bCs/>
                <w:color w:val="FFFFFF"/>
                <w:sz w:val="22"/>
                <w:szCs w:val="22"/>
              </w:rPr>
              <w:t xml:space="preserve">Res.Vol</w:t>
            </w:r>
          </w:p>
        </w:tc>
        <w:tc>
          <w:tcPr>
            <w:tcW w:type="dxa" w:w="268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center"/>
          </w:tcPr>
          <w:p>
            <w:r>
              <w:rPr>
                <w:rFonts w:ascii="Arial" w:cs="Arial" w:eastAsia="Arial" w:hAnsi="Arial"/>
                <w:b/>
                <w:bCs/>
                <w:color w:val="FFFFFF"/>
                <w:sz w:val="22"/>
                <w:szCs w:val="22"/>
              </w:rPr>
              <w:t xml:space="preserve">Character</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MSFT</w:t>
            </w:r>
          </w:p>
        </w:tc>
        <w:tc>
          <w:tcPr>
            <w:tcW w:type="dxa" w:w="1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0.909</w:t>
            </w:r>
          </w:p>
        </w:tc>
        <w:tc>
          <w:tcPr>
            <w:tcW w:type="dxa" w:w="1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+0.317</w:t>
            </w:r>
          </w:p>
        </w:tc>
        <w:tc>
          <w:tcPr>
            <w:tcW w:type="dxa" w:w="1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-0.131</w:t>
            </w:r>
          </w:p>
        </w:tc>
        <w:tc>
          <w:tcPr>
            <w:tcW w:type="dxa" w:w="1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-0.363</w:t>
            </w:r>
          </w:p>
        </w:tc>
        <w:tc>
          <w:tcPr>
            <w:tcW w:type="dxa" w:w="16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10.0%</w:t>
            </w:r>
          </w:p>
        </w:tc>
        <w:tc>
          <w:tcPr>
            <w:tcW w:type="dxa" w:w="268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High-beta tech; strong growth factor tilt.</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LRCX</w:t>
            </w:r>
          </w:p>
        </w:tc>
        <w:tc>
          <w:tcPr>
            <w:tcW w:type="dxa" w:w="1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0.878</w:t>
            </w:r>
          </w:p>
        </w:tc>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+0.494</w:t>
            </w:r>
          </w:p>
        </w:tc>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-0.283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-0.474</w:t>
            </w:r>
          </w:p>
        </w:tc>
        <w:tc>
          <w:tcPr>
            <w:tcW w:type="dxa" w:w="1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18.7%</w:t>
            </w:r>
          </w:p>
        </w:tc>
        <w:tc>
          <w:tcPr>
            <w:tcW w:type="dxa" w:w="2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Semiconductor equipment; mirrors tech/growth.</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CPRT</w:t>
            </w:r>
          </w:p>
        </w:tc>
        <w:tc>
          <w:tcPr>
            <w:tcW w:type="dxa" w:w="1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0.855</w:t>
            </w:r>
          </w:p>
        </w:tc>
        <w:tc>
          <w:tcPr>
            <w:tcW w:type="dxa" w:w="1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+0.420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-0.165</w:t>
            </w:r>
          </w:p>
        </w:tc>
        <w:tc>
          <w:tcPr>
            <w:tcW w:type="dxa" w:w="1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-0.292</w:t>
            </w:r>
          </w:p>
        </w:tc>
        <w:tc>
          <w:tcPr>
            <w:tcW w:type="dxa" w:w="16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16.7%</w:t>
            </w:r>
          </w:p>
        </w:tc>
        <w:tc>
          <w:tcPr>
            <w:tcW w:type="dxa" w:w="268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High-quality compounder; reliable macro signal.</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XOM</w:t>
            </w:r>
          </w:p>
        </w:tc>
        <w:tc>
          <w:tcPr>
            <w:tcW w:type="dxa" w:w="1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0.821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-0.262</w:t>
            </w:r>
          </w:p>
        </w:tc>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-0.342</w:t>
            </w:r>
          </w:p>
        </w:tc>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+0.435</w:t>
            </w:r>
          </w:p>
        </w:tc>
        <w:tc>
          <w:tcPr>
            <w:tcW w:type="dxa" w:w="1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15.8%</w:t>
            </w:r>
          </w:p>
        </w:tc>
        <w:tc>
          <w:tcPr>
            <w:tcW w:type="dxa" w:w="2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Energy; negative F1, positive F3 (defensive rotation).</w:t>
            </w:r>
          </w:p>
        </w:tc>
      </w:tr>
    </w:tbl>
    <w:p>
      <w:pPr>
        <w:spacing w:after="0" w:before="0"/>
      </w:pPr>
      <w:r>
        <w:t xml:space="preserve"/>
      </w:r>
    </w:p>
    <w:p>
      <w:pPr>
        <w:spacing w:after="60" w:before="60"/>
      </w:pPr>
      <w:r>
        <w:rPr>
          <w:rFonts w:ascii="Arial" w:cs="Arial" w:eastAsia="Arial" w:hAnsi="Arial"/>
          <w:sz w:val="22"/>
          <w:szCs w:val="22"/>
        </w:rPr>
        <w:t xml:space="preserve">Least-explained stocks (low R² — signals unreliable, discard):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00"/>
        <w:gridCol w:w="1000"/>
        <w:gridCol w:w="4880"/>
        <w:gridCol w:w="3000"/>
      </w:tblGrid>
      <w:tr>
        <w:tc>
          <w:tcPr>
            <w:tcW w:type="dxa" w:w="120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center"/>
          </w:tcPr>
          <w:p>
            <w:r>
              <w:rPr>
                <w:rFonts w:ascii="Arial" w:cs="Arial" w:eastAsia="Arial" w:hAnsi="Arial"/>
                <w:b/>
                <w:bCs/>
                <w:color w:val="FFFFFF"/>
                <w:sz w:val="22"/>
                <w:szCs w:val="22"/>
              </w:rPr>
              <w:t xml:space="preserve">Ticker</w:t>
            </w:r>
          </w:p>
        </w:tc>
        <w:tc>
          <w:tcPr>
            <w:tcW w:type="dxa" w:w="100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center"/>
          </w:tcPr>
          <w:p>
            <w:r>
              <w:rPr>
                <w:rFonts w:ascii="Arial" w:cs="Arial" w:eastAsia="Arial" w:hAnsi="Arial"/>
                <w:b/>
                <w:bCs/>
                <w:color w:val="FFFFFF"/>
                <w:sz w:val="22"/>
                <w:szCs w:val="22"/>
              </w:rPr>
              <w:t xml:space="preserve">R²</w:t>
            </w:r>
          </w:p>
        </w:tc>
        <w:tc>
          <w:tcPr>
            <w:tcW w:type="dxa" w:w="488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center"/>
          </w:tcPr>
          <w:p>
            <w:r>
              <w:rPr>
                <w:rFonts w:ascii="Arial" w:cs="Arial" w:eastAsia="Arial" w:hAnsi="Arial"/>
                <w:b/>
                <w:bCs/>
                <w:color w:val="FFFFFF"/>
                <w:sz w:val="22"/>
                <w:szCs w:val="22"/>
              </w:rPr>
              <w:t xml:space="preserve">Why low R²</w:t>
            </w:r>
          </w:p>
        </w:tc>
        <w:tc>
          <w:tcPr>
            <w:tcW w:type="dxa" w:w="300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center"/>
          </w:tcPr>
          <w:p>
            <w:r>
              <w:rPr>
                <w:rFonts w:ascii="Arial" w:cs="Arial" w:eastAsia="Arial" w:hAnsi="Arial"/>
                <w:b/>
                <w:bCs/>
                <w:color w:val="FFFFFF"/>
                <w:sz w:val="22"/>
                <w:szCs w:val="22"/>
              </w:rPr>
              <w:t xml:space="preserve">Action</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LHX</w:t>
            </w:r>
          </w:p>
        </w:tc>
        <w:tc>
          <w:tcPr>
            <w:tcW w:type="dxa" w:w="1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0.175</w:t>
            </w:r>
          </w:p>
        </w:tc>
        <w:tc>
          <w:tcPr>
            <w:tcW w:type="dxa" w:w="488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L3Harris is a defence electronics company — its returns during the Ukraine shock were driven by contract news, not macro factors.</w:t>
            </w:r>
          </w:p>
        </w:tc>
        <w:tc>
          <w:tcPr>
            <w:tcW w:type="dxa" w:w="3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Discard signals. Consider removing from universe.</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NOC</w:t>
            </w:r>
          </w:p>
        </w:tc>
        <w:tc>
          <w:tcPr>
            <w:tcW w:type="dxa" w:w="1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0.180</w:t>
            </w:r>
          </w:p>
        </w:tc>
        <w:tc>
          <w:tcPr>
            <w:tcW w:type="dxa" w:w="4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Same issue as LHX — Northrop Grumman's shock-window returns were idiosyncratic.</w:t>
            </w:r>
          </w:p>
        </w:tc>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Discard signals.</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WMT</w:t>
            </w:r>
          </w:p>
        </w:tc>
        <w:tc>
          <w:tcPr>
            <w:tcW w:type="dxa" w:w="1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0.190</w:t>
            </w:r>
          </w:p>
        </w:tc>
        <w:tc>
          <w:tcPr>
            <w:tcW w:type="dxa" w:w="488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Walmart is defensive/consumer-staples; its returns were barely correlated with the energy/growth shock.</w:t>
            </w:r>
          </w:p>
        </w:tc>
        <w:tc>
          <w:tcPr>
            <w:tcW w:type="dxa" w:w="3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Discard signals.</w:t>
            </w:r>
          </w:p>
        </w:tc>
      </w:tr>
    </w:tbl>
    <w:p>
      <w:pPr>
        <w:spacing w:after="0" w:before="0"/>
      </w:pPr>
      <w:r>
        <w:t xml:space="preserve"/>
      </w:r>
    </w:p>
    <w:p>
      <w:pPr>
        <w:pStyle w:val="Heading2"/>
        <w:spacing w:after="80" w:before="240"/>
      </w:pPr>
      <w:r>
        <w:rPr>
          <w:rFonts w:ascii="Arial" w:cs="Arial" w:eastAsia="Arial" w:hAnsi="Arial"/>
          <w:b/>
          <w:bCs/>
          <w:color w:val="2E75B6"/>
          <w:sz w:val="28"/>
          <w:szCs w:val="28"/>
        </w:rPr>
        <w:t xml:space="preserve">1.3  Scoring — a worked example</w:t>
      </w:r>
    </w:p>
    <w:p>
      <w:pPr>
        <w:spacing w:after="60" w:before="60"/>
      </w:pPr>
      <w:r>
        <w:rPr>
          <w:rFonts w:ascii="Arial" w:cs="Arial" w:eastAsia="Arial" w:hAnsi="Arial"/>
          <w:sz w:val="22"/>
          <w:szCs w:val="22"/>
        </w:rPr>
        <w:t xml:space="preserve">Given today's ETF returns, the model computes expected returns for each stock. Here is TXN on 2026-05-30:</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The model computed (from today's ETF moves):</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expected_rel     = -0.12%   # factors implied TXN would fall 0.12% vs. market</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w:r>
    </w:p>
    <w:p>
      <w:pPr>
        <w:pBdr>
          <w:left w:val="single" w:color="999999" w:sz="6" w:space="8"/>
        </w:pBdr>
        <w:shd w:fill="F4F4F4" w:val="clear"/>
        <w:spacing w:after="0" w:before="0"/>
        <w:ind w:left="240"/>
      </w:pPr>
      <w:r>
        <w:rPr>
          <w:rFonts w:ascii="Courier New" w:cs="Courier New" w:eastAsia="Courier New" w:hAnsi="Courier New"/>
          <w:sz w:val="20"/>
          <w:szCs w:val="20"/>
        </w:rPr>
        <w:t xml:space="preserve"># TXN's actual observed return:</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actual_return    = -3.25%   # TXN fell 3.25% today</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w:r>
    </w:p>
    <w:p>
      <w:pPr>
        <w:pBdr>
          <w:left w:val="single" w:color="999999" w:sz="6" w:space="8"/>
        </w:pBdr>
        <w:shd w:fill="F4F4F4" w:val="clear"/>
        <w:spacing w:after="0" w:before="0"/>
        <w:ind w:left="240"/>
      </w:pPr>
      <w:r>
        <w:rPr>
          <w:rFonts w:ascii="Courier New" w:cs="Courier New" w:eastAsia="Courier New" w:hAnsi="Courier New"/>
          <w:sz w:val="20"/>
          <w:szCs w:val="20"/>
        </w:rPr>
        <w:t xml:space="preserve"># The gap:</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delta_rel        = -0.12% - (-3.25%) = +3.13%</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 TXN fell 3.13% more than factors justified</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w:r>
    </w:p>
    <w:p>
      <w:pPr>
        <w:pBdr>
          <w:left w:val="single" w:color="999999" w:sz="6" w:space="8"/>
        </w:pBdr>
        <w:shd w:fill="F4F4F4" w:val="clear"/>
        <w:spacing w:after="0" w:before="0"/>
        <w:ind w:left="240"/>
      </w:pPr>
      <w:r>
        <w:rPr>
          <w:rFonts w:ascii="Courier New" w:cs="Courier New" w:eastAsia="Courier New" w:hAnsi="Courier New"/>
          <w:sz w:val="20"/>
          <w:szCs w:val="20"/>
        </w:rPr>
        <w:t xml:space="preserve"># Conviction weighting:</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confidence_delta = +3.13% x 0.645 = +2.02%</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 strong signal: large gap + reliable model fit</w:t>
      </w:r>
    </w:p>
    <w:p>
      <w:pPr>
        <w:shd w:fill="DEEAF1" w:val="clear"/>
        <w:spacing w:after="120" w:before="120"/>
        <w:ind w:left="240" w:right="240"/>
      </w:pPr>
      <w:r>
        <w:rPr>
          <w:rFonts w:ascii="Arial" w:cs="Arial" w:eastAsia="Arial" w:hAnsi="Arial"/>
          <w:sz w:val="22"/>
          <w:szCs w:val="22"/>
        </w:rPr>
        <w:t xml:space="preserve">ℹ  TXN's -3.25% actual vs. -0.12% expected: the macro factors (market selloff, energy spike, defensive rotation) imply TXN should have barely moved. The 3.13% gap is the mispricing ShockArb is designed to exploit.</w:t>
      </w:r>
    </w:p>
    <w:p>
      <w:pPr>
        <w:spacing w:after="0" w:before="0"/>
      </w:pPr>
      <w:r>
        <w:t xml:space="preserve"/>
      </w:r>
    </w:p>
    <w:p>
      <w:pPr>
        <w:spacing w:after="60" w:before="60"/>
      </w:pPr>
      <w:r>
        <w:rPr>
          <w:rFonts w:ascii="Arial" w:cs="Arial" w:eastAsia="Arial" w:hAnsi="Arial"/>
          <w:sz w:val="22"/>
          <w:szCs w:val="22"/>
        </w:rPr>
        <w:t xml:space="preserve">Compare with NOW on the same day:</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expected_rel     = -0.17%   # factors implied NOW would fall slightly</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actual_return    = +14.38%  # NOW surged 14.38% (earnings beat)</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delta_rel        = -14.55%  # NOW outran factors by 14.55%</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confidence_delta = -8.80%   # strong NEGATIVE signal = do not buy</w:t>
      </w:r>
    </w:p>
    <w:p>
      <w:pPr>
        <w:spacing w:after="60" w:before="60"/>
      </w:pPr>
      <w:r>
        <w:rPr>
          <w:rFonts w:ascii="Arial" w:cs="Arial" w:eastAsia="Arial" w:hAnsi="Arial"/>
          <w:sz w:val="22"/>
          <w:szCs w:val="22"/>
        </w:rPr>
        <w:t xml:space="preserve">NOW's move was driven by a company-specific catalyst (earnings), not macro mispricing — exactly the kind of idiosyncratic move ShockArb's residual is designed to detect.</w:t>
      </w:r>
    </w:p>
    <w:p>
      <w:pPr>
        <w:spacing w:after="0" w:before="0"/>
      </w:pPr>
      <w:r>
        <w:t xml:space="preserve"/>
      </w:r>
    </w:p>
    <w:p>
      <w:pPr>
        <w:pStyle w:val="Heading2"/>
        <w:spacing w:after="80" w:before="240"/>
      </w:pPr>
      <w:r>
        <w:rPr>
          <w:rFonts w:ascii="Arial" w:cs="Arial" w:eastAsia="Arial" w:hAnsi="Arial"/>
          <w:b/>
          <w:bCs/>
          <w:color w:val="2E75B6"/>
          <w:sz w:val="28"/>
          <w:szCs w:val="28"/>
        </w:rPr>
        <w:t xml:space="preserve">1.4  Signal quality reference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4680"/>
      </w:tblGrid>
      <w:tr>
        <w:tc>
          <w:tcPr>
            <w:tcW w:type="dxa" w:w="200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center"/>
          </w:tcPr>
          <w:p>
            <w:r>
              <w:rPr>
                <w:rFonts w:ascii="Arial" w:cs="Arial" w:eastAsia="Arial" w:hAnsi="Arial"/>
                <w:b/>
                <w:bCs/>
                <w:color w:val="FFFFFF"/>
                <w:sz w:val="22"/>
                <w:szCs w:val="22"/>
              </w:rPr>
              <w:t xml:space="preserve">Condition</w:t>
            </w:r>
          </w:p>
        </w:tc>
        <w:tc>
          <w:tcPr>
            <w:tcW w:type="dxa" w:w="140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center"/>
          </w:tcPr>
          <w:p>
            <w:r>
              <w:rPr>
                <w:rFonts w:ascii="Arial" w:cs="Arial" w:eastAsia="Arial" w:hAnsi="Arial"/>
                <w:b/>
                <w:bCs/>
                <w:color w:val="FFFFFF"/>
                <w:sz w:val="22"/>
                <w:szCs w:val="22"/>
              </w:rPr>
              <w:t xml:space="preserve">Example</w:t>
            </w:r>
          </w:p>
        </w:tc>
        <w:tc>
          <w:tcPr>
            <w:tcW w:type="dxa" w:w="200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center"/>
          </w:tcPr>
          <w:p>
            <w:r>
              <w:rPr>
                <w:rFonts w:ascii="Arial" w:cs="Arial" w:eastAsia="Arial" w:hAnsi="Arial"/>
                <w:b/>
                <w:bCs/>
                <w:color w:val="FFFFFF"/>
                <w:sz w:val="22"/>
                <w:szCs w:val="22"/>
              </w:rPr>
              <w:t xml:space="preserve">Status</w:t>
            </w:r>
          </w:p>
        </w:tc>
        <w:tc>
          <w:tcPr>
            <w:tcW w:type="dxa" w:w="468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center"/>
          </w:tcPr>
          <w:p>
            <w:r>
              <w:rPr>
                <w:rFonts w:ascii="Arial" w:cs="Arial" w:eastAsia="Arial" w:hAnsi="Arial"/>
                <w:b/>
                <w:bCs/>
                <w:color w:val="FFFFFF"/>
                <w:sz w:val="22"/>
                <w:szCs w:val="22"/>
              </w:rPr>
              <w:t xml:space="preserve">Action</w:t>
            </w:r>
          </w:p>
        </w:tc>
      </w:tr>
      <w:tr>
        <w:tc>
          <w:tcPr>
            <w:tcW w:type="dxa" w:w="2000"/>
            <w:tcBorders>
              <w:top w:val="single" w:color="CCCCCC" w:sz="1"/>
              <w:left w:val="single" w:color="CCCCCC" w:sz="1"/>
              <w:bottom w:val="single" w:color="CCCCCC" w:sz="1"/>
              <w:right w:val="single" w:color="CCCCCC" w:sz="1"/>
            </w:tcBorders>
            <w:shd w:fill="E2EFDA" w:val="clear"/>
            <w:tcMar>
              <w:top w:type="dxa" w:w="80"/>
              <w:left w:type="dxa" w:w="140"/>
              <w:bottom w:type="dxa" w:w="80"/>
              <w:right w:type="dxa" w:w="140"/>
            </w:tcMar>
          </w:tcPr>
          <w:p>
            <w:r>
              <w:rPr>
                <w:rFonts w:ascii="Arial" w:cs="Arial" w:eastAsia="Arial" w:hAnsi="Arial"/>
                <w:sz w:val="22"/>
                <w:szCs w:val="22"/>
              </w:rPr>
              <w:t xml:space="preserve">R² ≥ 0.50, Conf.Δ ≥ 1%</w:t>
            </w:r>
          </w:p>
        </w:tc>
        <w:tc>
          <w:tcPr>
            <w:tcW w:type="dxa" w:w="1400"/>
            <w:tcBorders>
              <w:top w:val="single" w:color="CCCCCC" w:sz="1"/>
              <w:left w:val="single" w:color="CCCCCC" w:sz="1"/>
              <w:bottom w:val="single" w:color="CCCCCC" w:sz="1"/>
              <w:right w:val="single" w:color="CCCCCC" w:sz="1"/>
            </w:tcBorders>
            <w:shd w:fill="E2EFDA" w:val="clear"/>
            <w:tcMar>
              <w:top w:type="dxa" w:w="80"/>
              <w:left w:type="dxa" w:w="140"/>
              <w:bottom w:type="dxa" w:w="80"/>
              <w:right w:type="dxa" w:w="140"/>
            </w:tcMar>
          </w:tcPr>
          <w:p>
            <w:r>
              <w:rPr>
                <w:rFonts w:ascii="Arial" w:cs="Arial" w:eastAsia="Arial" w:hAnsi="Arial"/>
                <w:sz w:val="22"/>
                <w:szCs w:val="22"/>
              </w:rPr>
              <w:t xml:space="preserve">TXN: 0.645, +2.02%</w:t>
            </w:r>
          </w:p>
        </w:tc>
        <w:tc>
          <w:tcPr>
            <w:tcW w:type="dxa" w:w="2000"/>
            <w:tcBorders>
              <w:top w:val="single" w:color="CCCCCC" w:sz="1"/>
              <w:left w:val="single" w:color="CCCCCC" w:sz="1"/>
              <w:bottom w:val="single" w:color="CCCCCC" w:sz="1"/>
              <w:right w:val="single" w:color="CCCCCC" w:sz="1"/>
            </w:tcBorders>
            <w:shd w:fill="E2EFDA" w:val="clear"/>
            <w:tcMar>
              <w:top w:type="dxa" w:w="80"/>
              <w:left w:type="dxa" w:w="140"/>
              <w:bottom w:type="dxa" w:w="80"/>
              <w:right w:type="dxa" w:w="140"/>
            </w:tcMar>
          </w:tcPr>
          <w:p>
            <w:r>
              <w:rPr>
                <w:rFonts w:ascii="Arial" w:cs="Arial" w:eastAsia="Arial" w:hAnsi="Arial"/>
                <w:b/>
                <w:bCs/>
                <w:sz w:val="22"/>
                <w:szCs w:val="22"/>
              </w:rPr>
              <w:t xml:space="preserve">Strong signal</w:t>
            </w:r>
          </w:p>
        </w:tc>
        <w:tc>
          <w:tcPr>
            <w:tcW w:type="dxa" w:w="4680"/>
            <w:tcBorders>
              <w:top w:val="single" w:color="CCCCCC" w:sz="1"/>
              <w:left w:val="single" w:color="CCCCCC" w:sz="1"/>
              <w:bottom w:val="single" w:color="CCCCCC" w:sz="1"/>
              <w:right w:val="single" w:color="CCCCCC" w:sz="1"/>
            </w:tcBorders>
            <w:shd w:fill="E2EFDA" w:val="clear"/>
            <w:tcMar>
              <w:top w:type="dxa" w:w="80"/>
              <w:left w:type="dxa" w:w="140"/>
              <w:bottom w:type="dxa" w:w="80"/>
              <w:right w:type="dxa" w:w="140"/>
            </w:tcMar>
          </w:tcPr>
          <w:p>
            <w:r>
              <w:rPr>
                <w:rFonts w:ascii="Arial" w:cs="Arial" w:eastAsia="Arial" w:hAnsi="Arial"/>
                <w:sz w:val="22"/>
                <w:szCs w:val="22"/>
              </w:rPr>
              <w:t xml:space="preserve">Full position. Check news before entry.</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R² 0.30–0.49, Conf.Δ ≥ 0.5%</w:t>
            </w:r>
          </w:p>
        </w:tc>
        <w:tc>
          <w:tcPr>
            <w:tcW w:type="dxa" w:w="1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HII: 0.496, +1.43%</w:t>
            </w:r>
          </w:p>
        </w:tc>
        <w:tc>
          <w:tcPr>
            <w:tcW w:type="dxa" w:w="2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b/>
                <w:bCs/>
                <w:sz w:val="22"/>
                <w:szCs w:val="22"/>
              </w:rPr>
              <w:t xml:space="preserve">Acceptable</w:t>
            </w:r>
          </w:p>
        </w:tc>
        <w:tc>
          <w:tcPr>
            <w:tcW w:type="dxa" w:w="468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Half position. Factor explanation is partial.</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R² ≥ 0.50, Conf.Δ &lt; 0.5%</w:t>
            </w:r>
          </w:p>
        </w:tc>
        <w:tc>
          <w:tcPr>
            <w:tcW w:type="dxa" w:w="1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ETN: 0.693, +0.17%</w:t>
            </w:r>
          </w:p>
        </w:tc>
        <w:tc>
          <w:tcPr>
            <w:tcW w:type="dxa" w:w="2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b/>
                <w:bCs/>
                <w:sz w:val="22"/>
                <w:szCs w:val="22"/>
              </w:rPr>
              <w:t xml:space="preserve">Weak / wait</w:t>
            </w:r>
          </w:p>
        </w:tc>
        <w:tc>
          <w:tcPr>
            <w:tcW w:type="dxa" w:w="468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Monitor. Signal is too small to act on.</w:t>
            </w:r>
          </w:p>
        </w:tc>
      </w:tr>
      <w:tr>
        <w:tc>
          <w:tcPr>
            <w:tcW w:type="dxa" w:w="2000"/>
            <w:tcBorders>
              <w:top w:val="single" w:color="CCCCCC" w:sz="1"/>
              <w:left w:val="single" w:color="CCCCCC" w:sz="1"/>
              <w:bottom w:val="single" w:color="CCCCCC" w:sz="1"/>
              <w:right w:val="single" w:color="CCCCCC" w:sz="1"/>
            </w:tcBorders>
            <w:shd w:fill="FCE4D6" w:val="clear"/>
            <w:tcMar>
              <w:top w:type="dxa" w:w="80"/>
              <w:left w:type="dxa" w:w="140"/>
              <w:bottom w:type="dxa" w:w="80"/>
              <w:right w:type="dxa" w:w="140"/>
            </w:tcMar>
          </w:tcPr>
          <w:p>
            <w:r>
              <w:rPr>
                <w:rFonts w:ascii="Arial" w:cs="Arial" w:eastAsia="Arial" w:hAnsi="Arial"/>
                <w:sz w:val="22"/>
                <w:szCs w:val="22"/>
              </w:rPr>
              <w:t xml:space="preserve">R² &lt; 0.30</w:t>
            </w:r>
          </w:p>
        </w:tc>
        <w:tc>
          <w:tcPr>
            <w:tcW w:type="dxa" w:w="1400"/>
            <w:tcBorders>
              <w:top w:val="single" w:color="CCCCCC" w:sz="1"/>
              <w:left w:val="single" w:color="CCCCCC" w:sz="1"/>
              <w:bottom w:val="single" w:color="CCCCCC" w:sz="1"/>
              <w:right w:val="single" w:color="CCCCCC" w:sz="1"/>
            </w:tcBorders>
            <w:shd w:fill="FCE4D6" w:val="clear"/>
            <w:tcMar>
              <w:top w:type="dxa" w:w="80"/>
              <w:left w:type="dxa" w:w="140"/>
              <w:bottom w:type="dxa" w:w="80"/>
              <w:right w:type="dxa" w:w="140"/>
            </w:tcMar>
          </w:tcPr>
          <w:p>
            <w:r>
              <w:rPr>
                <w:rFonts w:ascii="Arial" w:cs="Arial" w:eastAsia="Arial" w:hAnsi="Arial"/>
                <w:sz w:val="22"/>
                <w:szCs w:val="22"/>
              </w:rPr>
              <w:t xml:space="preserve">WMT: 0.088</w:t>
            </w:r>
          </w:p>
        </w:tc>
        <w:tc>
          <w:tcPr>
            <w:tcW w:type="dxa" w:w="2000"/>
            <w:tcBorders>
              <w:top w:val="single" w:color="CCCCCC" w:sz="1"/>
              <w:left w:val="single" w:color="CCCCCC" w:sz="1"/>
              <w:bottom w:val="single" w:color="CCCCCC" w:sz="1"/>
              <w:right w:val="single" w:color="CCCCCC" w:sz="1"/>
            </w:tcBorders>
            <w:shd w:fill="FCE4D6" w:val="clear"/>
            <w:tcMar>
              <w:top w:type="dxa" w:w="80"/>
              <w:left w:type="dxa" w:w="140"/>
              <w:bottom w:type="dxa" w:w="80"/>
              <w:right w:type="dxa" w:w="140"/>
            </w:tcMar>
          </w:tcPr>
          <w:p>
            <w:r>
              <w:rPr>
                <w:rFonts w:ascii="Arial" w:cs="Arial" w:eastAsia="Arial" w:hAnsi="Arial"/>
                <w:b/>
                <w:bCs/>
                <w:sz w:val="22"/>
                <w:szCs w:val="22"/>
              </w:rPr>
              <w:t xml:space="preserve">Discard</w:t>
            </w:r>
          </w:p>
        </w:tc>
        <w:tc>
          <w:tcPr>
            <w:tcW w:type="dxa" w:w="4680"/>
            <w:tcBorders>
              <w:top w:val="single" w:color="CCCCCC" w:sz="1"/>
              <w:left w:val="single" w:color="CCCCCC" w:sz="1"/>
              <w:bottom w:val="single" w:color="CCCCCC" w:sz="1"/>
              <w:right w:val="single" w:color="CCCCCC" w:sz="1"/>
            </w:tcBorders>
            <w:shd w:fill="FCE4D6" w:val="clear"/>
            <w:tcMar>
              <w:top w:type="dxa" w:w="80"/>
              <w:left w:type="dxa" w:w="140"/>
              <w:bottom w:type="dxa" w:w="80"/>
              <w:right w:type="dxa" w:w="140"/>
            </w:tcMar>
          </w:tcPr>
          <w:p>
            <w:r>
              <w:rPr>
                <w:rFonts w:ascii="Arial" w:cs="Arial" w:eastAsia="Arial" w:hAnsi="Arial"/>
                <w:sz w:val="22"/>
                <w:szCs w:val="22"/>
              </w:rPr>
              <w:t xml:space="preserve">Model cannot explain this stock. Delta is likely noise.</w:t>
            </w:r>
          </w:p>
        </w:tc>
      </w:tr>
      <w:tr>
        <w:tc>
          <w:tcPr>
            <w:tcW w:type="dxa" w:w="2000"/>
            <w:tcBorders>
              <w:top w:val="single" w:color="CCCCCC" w:sz="1"/>
              <w:left w:val="single" w:color="CCCCCC" w:sz="1"/>
              <w:bottom w:val="single" w:color="CCCCCC" w:sz="1"/>
              <w:right w:val="single" w:color="CCCCCC" w:sz="1"/>
            </w:tcBorders>
            <w:shd w:fill="FCE4D6" w:val="clear"/>
            <w:tcMar>
              <w:top w:type="dxa" w:w="80"/>
              <w:left w:type="dxa" w:w="140"/>
              <w:bottom w:type="dxa" w:w="80"/>
              <w:right w:type="dxa" w:w="140"/>
            </w:tcMar>
          </w:tcPr>
          <w:p>
            <w:r>
              <w:rPr>
                <w:rFonts w:ascii="Arial" w:cs="Arial" w:eastAsia="Arial" w:hAnsi="Arial"/>
                <w:sz w:val="22"/>
                <w:szCs w:val="22"/>
              </w:rPr>
              <w:t xml:space="preserve">Negative Conf.Δ</w:t>
            </w:r>
          </w:p>
        </w:tc>
        <w:tc>
          <w:tcPr>
            <w:tcW w:type="dxa" w:w="1400"/>
            <w:tcBorders>
              <w:top w:val="single" w:color="CCCCCC" w:sz="1"/>
              <w:left w:val="single" w:color="CCCCCC" w:sz="1"/>
              <w:bottom w:val="single" w:color="CCCCCC" w:sz="1"/>
              <w:right w:val="single" w:color="CCCCCC" w:sz="1"/>
            </w:tcBorders>
            <w:shd w:fill="FCE4D6" w:val="clear"/>
            <w:tcMar>
              <w:top w:type="dxa" w:w="80"/>
              <w:left w:type="dxa" w:w="140"/>
              <w:bottom w:type="dxa" w:w="80"/>
              <w:right w:type="dxa" w:w="140"/>
            </w:tcMar>
          </w:tcPr>
          <w:p>
            <w:r>
              <w:rPr>
                <w:rFonts w:ascii="Arial" w:cs="Arial" w:eastAsia="Arial" w:hAnsi="Arial"/>
                <w:sz w:val="22"/>
                <w:szCs w:val="22"/>
              </w:rPr>
              <w:t xml:space="preserve">NOW: -8.80%</w:t>
            </w:r>
          </w:p>
        </w:tc>
        <w:tc>
          <w:tcPr>
            <w:tcW w:type="dxa" w:w="2000"/>
            <w:tcBorders>
              <w:top w:val="single" w:color="CCCCCC" w:sz="1"/>
              <w:left w:val="single" w:color="CCCCCC" w:sz="1"/>
              <w:bottom w:val="single" w:color="CCCCCC" w:sz="1"/>
              <w:right w:val="single" w:color="CCCCCC" w:sz="1"/>
            </w:tcBorders>
            <w:shd w:fill="FCE4D6" w:val="clear"/>
            <w:tcMar>
              <w:top w:type="dxa" w:w="80"/>
              <w:left w:type="dxa" w:w="140"/>
              <w:bottom w:type="dxa" w:w="80"/>
              <w:right w:type="dxa" w:w="140"/>
            </w:tcMar>
          </w:tcPr>
          <w:p>
            <w:r>
              <w:rPr>
                <w:rFonts w:ascii="Arial" w:cs="Arial" w:eastAsia="Arial" w:hAnsi="Arial"/>
                <w:b/>
                <w:bCs/>
                <w:sz w:val="22"/>
                <w:szCs w:val="22"/>
              </w:rPr>
              <w:t xml:space="preserve">Avoid / short</w:t>
            </w:r>
          </w:p>
        </w:tc>
        <w:tc>
          <w:tcPr>
            <w:tcW w:type="dxa" w:w="4680"/>
            <w:tcBorders>
              <w:top w:val="single" w:color="CCCCCC" w:sz="1"/>
              <w:left w:val="single" w:color="CCCCCC" w:sz="1"/>
              <w:bottom w:val="single" w:color="CCCCCC" w:sz="1"/>
              <w:right w:val="single" w:color="CCCCCC" w:sz="1"/>
            </w:tcBorders>
            <w:shd w:fill="FCE4D6" w:val="clear"/>
            <w:tcMar>
              <w:top w:type="dxa" w:w="80"/>
              <w:left w:type="dxa" w:w="140"/>
              <w:bottom w:type="dxa" w:w="80"/>
              <w:right w:type="dxa" w:w="140"/>
            </w:tcMar>
          </w:tcPr>
          <w:p>
            <w:r>
              <w:rPr>
                <w:rFonts w:ascii="Arial" w:cs="Arial" w:eastAsia="Arial" w:hAnsi="Arial"/>
                <w:sz w:val="22"/>
                <w:szCs w:val="22"/>
              </w:rPr>
              <w:t xml:space="preserve">Stock outran factors — company catalyst, not macro. Do not buy.</w:t>
            </w:r>
          </w:p>
        </w:tc>
      </w:tr>
    </w:tbl>
    <w:p>
      <w:r>
        <w:br w:type="page"/>
      </w:r>
    </w:p>
    <w:p>
      <w:pPr>
        <w:pStyle w:val="Heading1"/>
        <w:spacing w:after="120" w:before="360"/>
      </w:pPr>
      <w:r>
        <w:rPr>
          <w:rFonts w:ascii="Arial" w:cs="Arial" w:eastAsia="Arial" w:hAnsi="Arial"/>
          <w:b/>
          <w:bCs/>
          <w:color w:val="1F4E79"/>
          <w:sz w:val="36"/>
          <w:szCs w:val="36"/>
        </w:rPr>
        <w:t xml:space="preserve">2  Regimes</w:t>
      </w:r>
    </w:p>
    <w:p>
      <w:pPr>
        <w:spacing w:after="60" w:before="60"/>
      </w:pPr>
      <w:r>
        <w:rPr>
          <w:rFonts w:ascii="Arial" w:cs="Arial" w:eastAsia="Arial" w:hAnsi="Arial"/>
          <w:sz w:val="22"/>
          <w:szCs w:val="22"/>
        </w:rPr>
        <w:t xml:space="preserve">A regime is a named historical shock window bundled with its universe of ETFs, stocks, calibration dates, and interpretive metadata. The regime determines which model gets built and loaded.</w:t>
      </w:r>
    </w:p>
    <w:p>
      <w:pPr>
        <w:spacing w:after="0" w:before="0"/>
      </w:pPr>
      <w:r>
        <w:t xml:space="preserve"/>
      </w:r>
    </w:p>
    <w:p>
      <w:pPr>
        <w:pStyle w:val="Heading2"/>
        <w:spacing w:after="80" w:before="240"/>
      </w:pPr>
      <w:r>
        <w:rPr>
          <w:rFonts w:ascii="Arial" w:cs="Arial" w:eastAsia="Arial" w:hAnsi="Arial"/>
          <w:b/>
          <w:bCs/>
          <w:color w:val="2E75B6"/>
          <w:sz w:val="28"/>
          <w:szCs w:val="28"/>
        </w:rPr>
        <w:t xml:space="preserve">2.1  Available regimes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508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center"/>
          </w:tcPr>
          <w:p>
            <w:r>
              <w:rPr>
                <w:rFonts w:ascii="Arial" w:cs="Arial" w:eastAsia="Arial" w:hAnsi="Arial"/>
                <w:b/>
                <w:bCs/>
                <w:color w:val="FFFFFF"/>
                <w:sz w:val="22"/>
                <w:szCs w:val="22"/>
              </w:rPr>
              <w:t xml:space="preserve">Regime</w:t>
            </w:r>
          </w:p>
        </w:tc>
        <w:tc>
          <w:tcPr>
            <w:tcW w:type="dxa" w:w="260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center"/>
          </w:tcPr>
          <w:p>
            <w:r>
              <w:rPr>
                <w:rFonts w:ascii="Arial" w:cs="Arial" w:eastAsia="Arial" w:hAnsi="Arial"/>
                <w:b/>
                <w:bCs/>
                <w:color w:val="FFFFFF"/>
                <w:sz w:val="22"/>
                <w:szCs w:val="22"/>
              </w:rPr>
              <w:t xml:space="preserve">Window</w:t>
            </w:r>
          </w:p>
        </w:tc>
        <w:tc>
          <w:tcPr>
            <w:tcW w:type="dxa" w:w="508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center"/>
          </w:tcPr>
          <w:p>
            <w:r>
              <w:rPr>
                <w:rFonts w:ascii="Arial" w:cs="Arial" w:eastAsia="Arial" w:hAnsi="Arial"/>
                <w:b/>
                <w:bCs/>
                <w:color w:val="FFFFFF"/>
                <w:sz w:val="22"/>
                <w:szCs w:val="22"/>
              </w:rPr>
              <w:t xml:space="preserve">Description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Courier New" w:cs="Courier New" w:eastAsia="Courier New" w:hAnsi="Courier New"/>
                <w:sz w:val="20"/>
                <w:szCs w:val="20"/>
              </w:rPr>
              <w:t xml:space="preserve">ukraine_shock</w:t>
            </w:r>
          </w:p>
        </w:tc>
        <w:tc>
          <w:tcPr>
            <w:tcW w:type="dxa" w:w="26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Feb 10 – Mar 31 2022</w:t>
            </w:r>
          </w:p>
        </w:tc>
        <w:tc>
          <w:tcPr>
            <w:tcW w:type="dxa" w:w="508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Russia-Ukraine invasion. Primary regime. 19 ETFs, 66 base stocks (saved model: 98 after add-asset), 3 factors. Cumulative variance 86.5%.</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sz w:val="20"/>
                <w:szCs w:val="20"/>
              </w:rPr>
              <w:t xml:space="preserve">global_ukraine_shock</w:t>
            </w:r>
          </w:p>
        </w:tc>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Feb 10 – Mar 31 2022</w:t>
            </w:r>
          </w:p>
        </w:tc>
        <w:tc>
          <w:tcPr>
            <w:tcW w:type="dxa" w:w="50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Same event window, global universe. 14 ETFs, 15 ADRs. Use when scoring international stocks.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Courier New" w:cs="Courier New" w:eastAsia="Courier New" w:hAnsi="Courier New"/>
                <w:sz w:val="20"/>
                <w:szCs w:val="20"/>
              </w:rPr>
              <w:t xml:space="preserve">covid_reopening</w:t>
            </w:r>
          </w:p>
        </w:tc>
        <w:tc>
          <w:tcPr>
            <w:tcW w:type="dxa" w:w="26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Nov 9 2020 – Feb 28 2021</w:t>
            </w:r>
          </w:p>
        </w:tc>
        <w:tc>
          <w:tcPr>
            <w:tcW w:type="dxa" w:w="508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Post-vaccine reopening trade. 19 ETFs, 66 stocks, 3 factors. Validates generalization to pandemic recovery dynamics.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sz w:val="20"/>
                <w:szCs w:val="20"/>
              </w:rPr>
              <w:t xml:space="preserve">liberation_day_recovery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Apr 1 – Jul 31 2025</w:t>
            </w:r>
          </w:p>
        </w:tc>
        <w:tc>
          <w:tcPr>
            <w:tcW w:type="dxa" w:w="50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Post-tariff recovery. 19 ETFs, 66 stocks, 3 factors. Validates generalization to non-geopolitical shocks.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Courier New" w:cs="Courier New" w:eastAsia="Courier New" w:hAnsi="Courier New"/>
                <w:sz w:val="20"/>
                <w:szCs w:val="20"/>
              </w:rPr>
              <w:t xml:space="preserve">gulf_war_recovery</w:t>
            </w:r>
          </w:p>
        </w:tc>
        <w:tc>
          <w:tcPr>
            <w:tcW w:type="dxa" w:w="26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Mar 1 – Jun 28 1991</w:t>
            </w:r>
          </w:p>
        </w:tc>
        <w:tc>
          <w:tcPr>
            <w:tcW w:type="dxa" w:w="508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Gulf War ceasefire recovery. 5 ETFs, 27 stocks. Under construction — 1991 data requires different tickers.</w:t>
            </w:r>
          </w:p>
        </w:tc>
      </w:tr>
    </w:tbl>
    <w:p>
      <w:pPr>
        <w:spacing w:after="0" w:before="0"/>
      </w:pPr>
      <w:r>
        <w:t xml:space="preserve"/>
      </w:r>
    </w:p>
    <w:p>
      <w:pPr>
        <w:pStyle w:val="Heading2"/>
        <w:spacing w:after="80" w:before="240"/>
      </w:pPr>
      <w:r>
        <w:rPr>
          <w:rFonts w:ascii="Arial" w:cs="Arial" w:eastAsia="Arial" w:hAnsi="Arial"/>
          <w:b/>
          <w:bCs/>
          <w:color w:val="2E75B6"/>
          <w:sz w:val="28"/>
          <w:szCs w:val="28"/>
        </w:rPr>
        <w:t xml:space="preserve">2.2  Regime commands</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shockarb show-regime              # what's active</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shockarb set-regime ukraine_shock # set sticky regime</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shockarb list-regimes             # all available</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w:r>
    </w:p>
    <w:p>
      <w:pPr>
        <w:pBdr>
          <w:left w:val="single" w:color="999999" w:sz="6" w:space="8"/>
        </w:pBdr>
        <w:shd w:fill="F4F4F4" w:val="clear"/>
        <w:spacing w:after="0" w:before="0"/>
        <w:ind w:left="240"/>
      </w:pPr>
      <w:r>
        <w:rPr>
          <w:rFonts w:ascii="Courier New" w:cs="Courier New" w:eastAsia="Courier New" w:hAnsi="Courier New"/>
          <w:sz w:val="20"/>
          <w:szCs w:val="20"/>
        </w:rPr>
        <w:t xml:space="preserve"># One-shot override (doesn't change sticky file)</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shockarb score --regime global_ukraine_shock</w:t>
      </w:r>
    </w:p>
    <w:p>
      <w:pPr>
        <w:spacing w:after="0" w:before="0"/>
      </w:pPr>
      <w:r>
        <w:t xml:space="preserve"/>
      </w:r>
    </w:p>
    <w:p>
      <w:pPr>
        <w:pStyle w:val="Heading2"/>
        <w:spacing w:after="80" w:before="240"/>
      </w:pPr>
      <w:r>
        <w:rPr>
          <w:rFonts w:ascii="Arial" w:cs="Arial" w:eastAsia="Arial" w:hAnsi="Arial"/>
          <w:b/>
          <w:bCs/>
          <w:color w:val="2E75B6"/>
          <w:sz w:val="28"/>
          <w:szCs w:val="28"/>
        </w:rPr>
        <w:t xml:space="preserve">2.3  How the sticky regime works</w:t>
      </w:r>
    </w:p>
    <w:p>
      <w:pPr>
        <w:spacing w:after="60" w:before="60"/>
      </w:pPr>
      <w:r>
        <w:rPr>
          <w:rFonts w:ascii="Arial" w:cs="Arial" w:eastAsia="Arial" w:hAnsi="Arial"/>
          <w:sz w:val="22"/>
          <w:szCs w:val="22"/>
        </w:rPr>
        <w:t xml:space="preserve">Running shockarb set-regime ukraine_shock writes the name to .shockarb_regime in your data directory. Every subsequent command reads this file. Priority order:</w:t>
      </w:r>
    </w:p>
    <w:p>
      <w:pPr>
        <w:pStyle w:val="ListParagraph"/>
        <w:numPr>
          <w:ilvl w:val="0"/>
          <w:numId w:val="2"/>
        </w:numPr>
        <w:spacing w:after="40" w:before="40"/>
      </w:pPr>
      <w:r>
        <w:rPr>
          <w:rFonts w:ascii="Arial" w:cs="Arial" w:eastAsia="Arial" w:hAnsi="Arial"/>
          <w:sz w:val="22"/>
          <w:szCs w:val="22"/>
        </w:rPr>
        <w:t xml:space="preserve">--regime flag (highest — one-shot override)</w:t>
      </w:r>
    </w:p>
    <w:p>
      <w:pPr>
        <w:pStyle w:val="ListParagraph"/>
        <w:numPr>
          <w:ilvl w:val="0"/>
          <w:numId w:val="2"/>
        </w:numPr>
        <w:spacing w:after="40" w:before="40"/>
      </w:pPr>
      <w:r>
        <w:rPr>
          <w:rFonts w:ascii="Arial" w:cs="Arial" w:eastAsia="Arial" w:hAnsi="Arial"/>
          <w:sz w:val="22"/>
          <w:szCs w:val="22"/>
        </w:rPr>
        <w:t xml:space="preserve">--universe flag (legacy, deprecated)</w:t>
      </w:r>
    </w:p>
    <w:p>
      <w:pPr>
        <w:pStyle w:val="ListParagraph"/>
        <w:numPr>
          <w:ilvl w:val="0"/>
          <w:numId w:val="2"/>
        </w:numPr>
        <w:spacing w:after="40" w:before="40"/>
      </w:pPr>
      <w:r>
        <w:rPr>
          <w:rFonts w:ascii="Arial" w:cs="Arial" w:eastAsia="Arial" w:hAnsi="Arial"/>
          <w:sz w:val="22"/>
          <w:szCs w:val="22"/>
        </w:rPr>
        <w:t xml:space="preserve">Sticky file (.shockarb_regime)</w:t>
      </w:r>
    </w:p>
    <w:p>
      <w:pPr>
        <w:pStyle w:val="ListParagraph"/>
        <w:numPr>
          <w:ilvl w:val="0"/>
          <w:numId w:val="2"/>
        </w:numPr>
        <w:spacing w:after="40" w:before="40"/>
      </w:pPr>
      <w:r>
        <w:rPr>
          <w:rFonts w:ascii="Arial" w:cs="Arial" w:eastAsia="Arial" w:hAnsi="Arial"/>
          <w:sz w:val="22"/>
          <w:szCs w:val="22"/>
        </w:rPr>
        <w:t xml:space="preserve">Error — no regime found</w:t>
      </w:r>
    </w:p>
    <w:p>
      <w:pPr>
        <w:spacing w:after="0" w:before="0"/>
      </w:pPr>
      <w:r>
        <w:t xml:space="preserve"/>
      </w:r>
    </w:p>
    <w:p>
      <w:pPr>
        <w:pStyle w:val="Heading2"/>
        <w:spacing w:after="80" w:before="240"/>
      </w:pPr>
      <w:r>
        <w:rPr>
          <w:rFonts w:ascii="Arial" w:cs="Arial" w:eastAsia="Arial" w:hAnsi="Arial"/>
          <w:b/>
          <w:bCs/>
          <w:color w:val="2E75B6"/>
          <w:sz w:val="28"/>
          <w:szCs w:val="28"/>
        </w:rPr>
        <w:t xml:space="preserve">2.4  Model file naming</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ukraine_shock_us_20260528_143030.json   # current naming</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us_YYYYMMDD_HHMMSS.json                 # legacy (pre-regime system)</w:t>
      </w:r>
    </w:p>
    <w:p>
      <w:pPr>
        <w:spacing w:after="60" w:before="60"/>
      </w:pPr>
      <w:r>
        <w:rPr>
          <w:rFonts w:ascii="Arial" w:cs="Arial" w:eastAsia="Arial" w:hAnsi="Arial"/>
          <w:sz w:val="22"/>
          <w:szCs w:val="22"/>
        </w:rPr>
        <w:t xml:space="preserve">The score command always loads the newest file matching the active regime. Legacy us_*.json files are no longer loaded once a regime is set.</w:t>
      </w:r>
    </w:p>
    <w:p>
      <w:pPr>
        <w:shd w:fill="DEEAF1" w:val="clear"/>
        <w:spacing w:after="120" w:before="120"/>
        <w:ind w:left="240" w:right="240"/>
      </w:pPr>
      <w:r>
        <w:rPr>
          <w:rFonts w:ascii="Arial" w:cs="Arial" w:eastAsia="Arial" w:hAnsi="Arial"/>
          <w:sz w:val="22"/>
          <w:szCs w:val="22"/>
        </w:rPr>
        <w:t xml:space="preserve">ℹ  To see which model file is active, run shockarb score and read the 'Model:' line in the Provenance block.</w:t>
      </w:r>
    </w:p>
    <w:p>
      <w:r>
        <w:br w:type="page"/>
      </w:r>
    </w:p>
    <w:p>
      <w:pPr>
        <w:pStyle w:val="Heading1"/>
        <w:spacing w:after="120" w:before="360"/>
      </w:pPr>
      <w:r>
        <w:rPr>
          <w:rFonts w:ascii="Arial" w:cs="Arial" w:eastAsia="Arial" w:hAnsi="Arial"/>
          <w:b/>
          <w:bCs/>
          <w:color w:val="1F4E79"/>
          <w:sz w:val="36"/>
          <w:szCs w:val="36"/>
        </w:rPr>
        <w:t xml:space="preserve">3  Score History &amp; Regime Health</w:t>
      </w:r>
    </w:p>
    <w:p>
      <w:pPr>
        <w:spacing w:after="60" w:before="60"/>
      </w:pPr>
      <w:r>
        <w:rPr>
          <w:rFonts w:ascii="Arial" w:cs="Arial" w:eastAsia="Arial" w:hAnsi="Arial"/>
          <w:sz w:val="22"/>
          <w:szCs w:val="22"/>
        </w:rPr>
        <w:t xml:space="preserve">ShockArb accumulates a rolling archive of daily score output and uses it to measure whether the active regime is still explanatory of live returns. This is the primary tool for deciding when to switch regimes.</w:t>
      </w:r>
    </w:p>
    <w:p>
      <w:pPr>
        <w:spacing w:after="0" w:before="0"/>
      </w:pPr>
      <w:r>
        <w:t xml:space="preserve"/>
      </w:r>
    </w:p>
    <w:p>
      <w:pPr>
        <w:pStyle w:val="Heading2"/>
        <w:spacing w:after="80" w:before="240"/>
      </w:pPr>
      <w:r>
        <w:rPr>
          <w:rFonts w:ascii="Arial" w:cs="Arial" w:eastAsia="Arial" w:hAnsi="Arial"/>
          <w:b/>
          <w:bCs/>
          <w:color w:val="2E75B6"/>
          <w:sz w:val="28"/>
          <w:szCs w:val="28"/>
        </w:rPr>
        <w:t xml:space="preserve">3.1  Building the archive</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Recommended daily habit — add --save-recent to every score run</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shockarb score --save-recent</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w:r>
    </w:p>
    <w:p>
      <w:pPr>
        <w:pBdr>
          <w:left w:val="single" w:color="999999" w:sz="6" w:space="8"/>
        </w:pBdr>
        <w:shd w:fill="F4F4F4" w:val="clear"/>
        <w:spacing w:after="0" w:before="0"/>
        <w:ind w:left="240"/>
      </w:pPr>
      <w:r>
        <w:rPr>
          <w:rFonts w:ascii="Courier New" w:cs="Courier New" w:eastAsia="Courier New" w:hAnsi="Courier New"/>
          <w:sz w:val="20"/>
          <w:szCs w:val="20"/>
        </w:rPr>
        <w:t xml:space="preserve"># Combine with --out to save CSV at the same time</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shockarb score --save-recent --out data\live_alpha_us.csv</w:t>
      </w:r>
    </w:p>
    <w:p>
      <w:pPr>
        <w:spacing w:after="0" w:before="0"/>
      </w:pPr>
      <w:r>
        <w:t xml:space="preserve"/>
      </w:r>
    </w:p>
    <w:p>
      <w:pPr>
        <w:spacing w:after="60" w:before="60"/>
      </w:pPr>
      <w:r>
        <w:rPr>
          <w:rFonts w:ascii="Arial" w:cs="Arial" w:eastAsia="Arial" w:hAnsi="Arial"/>
          <w:sz w:val="22"/>
          <w:szCs w:val="22"/>
        </w:rPr>
        <w:t xml:space="preserve">Each run writes one parquet file to data\recent_scores\ named YYYY-MM-DD_HHMMSS.parquet. The 2026-05-30 archive entry (from the project's first --save-recent run):</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data\recent_scores\2026-05-30.parquet   # 66 rows, one per scored stock</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w:r>
    </w:p>
    <w:p>
      <w:pPr>
        <w:pBdr>
          <w:left w:val="single" w:color="999999" w:sz="6" w:space="8"/>
        </w:pBdr>
        <w:shd w:fill="F4F4F4" w:val="clear"/>
        <w:spacing w:after="0" w:before="0"/>
        <w:ind w:left="240"/>
      </w:pPr>
      <w:r>
        <w:rPr>
          <w:rFonts w:ascii="Courier New" w:cs="Courier New" w:eastAsia="Courier New" w:hAnsi="Courier New"/>
          <w:sz w:val="20"/>
          <w:szCs w:val="20"/>
        </w:rPr>
        <w:t xml:space="preserve">  date        ticker  actual   expected  delta    r2      conf_delta  regime</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2026-05-30  TXN     -0.0325  -0.0012   +0.0313  0.6453  +0.02022    ukraine_shock</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2026-05-30  HII     -0.0355  -0.0066   +0.0289  0.4958  +0.01434    ukraine_shock</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2026-05-30  COST    -0.0391  -0.0002   +0.0389  0.3652  +0.01421    ukraine_shock</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2026-05-30  CPRT    -0.0153  +0.0003   +0.0156  0.8118  +0.01268    ukraine_shock</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         (66 rows total)</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next_day_actual: NaN  &lt;-- will be backfilled by tomorrow's run</w:t>
      </w:r>
    </w:p>
    <w:p>
      <w:pPr>
        <w:shd w:fill="DEEAF1" w:val="clear"/>
        <w:spacing w:after="120" w:before="120"/>
        <w:ind w:left="240" w:right="240"/>
      </w:pPr>
      <w:r>
        <w:rPr>
          <w:rFonts w:ascii="Arial" w:cs="Arial" w:eastAsia="Arial" w:hAnsi="Arial"/>
          <w:sz w:val="22"/>
          <w:szCs w:val="22"/>
        </w:rPr>
        <w:t xml:space="preserve">ℹ  --save-recent is zero-marginal-cost: all price data flows from the datamgr coordinator cache. No extra downloads are triggered.</w:t>
      </w:r>
    </w:p>
    <w:p>
      <w:pPr>
        <w:spacing w:after="0" w:before="0"/>
      </w:pPr>
      <w:r>
        <w:t xml:space="preserve"/>
      </w:r>
    </w:p>
    <w:p>
      <w:pPr>
        <w:pStyle w:val="Heading2"/>
        <w:spacing w:after="80" w:before="240"/>
      </w:pPr>
      <w:r>
        <w:rPr>
          <w:rFonts w:ascii="Arial" w:cs="Arial" w:eastAsia="Arial" w:hAnsi="Arial"/>
          <w:b/>
          <w:bCs/>
          <w:color w:val="2E75B6"/>
          <w:sz w:val="28"/>
          <w:szCs w:val="28"/>
        </w:rPr>
        <w:t xml:space="preserve">3.2  Checking regime health</w:t>
      </w:r>
    </w:p>
    <w:p>
      <w:pPr>
        <w:spacing w:after="60" w:before="60"/>
      </w:pPr>
      <w:r>
        <w:rPr>
          <w:rFonts w:ascii="Arial" w:cs="Arial" w:eastAsia="Arial" w:hAnsi="Arial"/>
          <w:sz w:val="22"/>
          <w:szCs w:val="22"/>
        </w:rPr>
        <w:t xml:space="preserve">After 5 or more trading days in the archive, the regime-health command ranks all regimes by SNR:</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shockarb regime-health          # uses last 30 data-days</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shockarb regime-health --days 14  # tighter window</w:t>
      </w:r>
    </w:p>
    <w:p>
      <w:pPr>
        <w:spacing w:after="0" w:before="0"/>
      </w:pPr>
      <w:r>
        <w:t xml:space="preserve"/>
      </w:r>
    </w:p>
    <w:p>
      <w:pPr>
        <w:spacing w:after="60" w:before="60"/>
      </w:pPr>
      <w:r>
        <w:rPr>
          <w:rFonts w:ascii="Arial" w:cs="Arial" w:eastAsia="Arial" w:hAnsi="Arial"/>
          <w:sz w:val="22"/>
          <w:szCs w:val="22"/>
        </w:rPr>
        <w:t xml:space="preserve">With only 1 day accumulated (current project state), the output is:</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REGIME HEALTH — 2026-05-30 (1-day window)</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ukraine_shock          R²=-0.01  SNR=0.00  ✅  BEST FIT</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gulf_war_recovery      ——  NO DATA</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liberation_day_recovery ——  NO DATA</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global_ukraine_shock   ——  NO DATA</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covid_reopening        ——  NO DATA</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w:r>
    </w:p>
    <w:p>
      <w:pPr>
        <w:pBdr>
          <w:left w:val="single" w:color="999999" w:sz="6" w:space="8"/>
        </w:pBdr>
        <w:shd w:fill="F4F4F4" w:val="clear"/>
        <w:spacing w:after="0" w:before="0"/>
        <w:ind w:left="240"/>
      </w:pPr>
      <w:r>
        <w:rPr>
          <w:rFonts w:ascii="Courier New" w:cs="Courier New" w:eastAsia="Courier New" w:hAnsi="Courier New"/>
          <w:sz w:val="20"/>
          <w:szCs w:val="20"/>
        </w:rPr>
        <w:t xml:space="preserve">  → Recommendation: ukraine_shock is currently most explanatory</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w:r>
    </w:p>
    <w:p>
      <w:pPr>
        <w:pBdr>
          <w:left w:val="single" w:color="999999" w:sz="6" w:space="8"/>
        </w:pBdr>
        <w:shd w:fill="F4F4F4" w:val="clear"/>
        <w:spacing w:after="0" w:before="0"/>
        <w:ind w:left="240"/>
      </w:pPr>
      <w:r>
        <w:rPr>
          <w:rFonts w:ascii="Courier New" w:cs="Courier New" w:eastAsia="Courier New" w:hAnsi="Courier New"/>
          <w:sz w:val="20"/>
          <w:szCs w:val="20"/>
        </w:rPr>
        <w:t xml:space="preserve">  (Note: 1-day window is too small to be meaningful.</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Accumulating — run score --save-recent daily.)</w:t>
      </w:r>
    </w:p>
    <w:p>
      <w:pPr>
        <w:spacing w:after="0" w:before="0"/>
      </w:pPr>
      <w:r>
        <w:t xml:space="preserve"/>
      </w:r>
    </w:p>
    <w:p>
      <w:pPr>
        <w:spacing w:after="60" w:before="60"/>
      </w:pPr>
      <w:r>
        <w:rPr>
          <w:rFonts w:ascii="Arial" w:cs="Arial" w:eastAsia="Arial" w:hAnsi="Arial"/>
          <w:sz w:val="22"/>
          <w:szCs w:val="22"/>
        </w:rPr>
        <w:t xml:space="preserve">After ~20 days of accumulation, a typical healthy regime produces:</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REGIME HEALTH — 2026-06-28 (20-day window)</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ukraine_shock          R²=0.61  SNR=1.56  ✅  BEST FIT</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liberation_day_recovery R²=0.44  SNR=0.79  ⚠️  DEGRADED</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covid_reopening        ——  NO DATA</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gulf_war_recovery      ——  NO DATA</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w:r>
    </w:p>
    <w:p>
      <w:pPr>
        <w:pBdr>
          <w:left w:val="single" w:color="999999" w:sz="6" w:space="8"/>
        </w:pBdr>
        <w:shd w:fill="F4F4F4" w:val="clear"/>
        <w:spacing w:after="0" w:before="0"/>
        <w:ind w:left="240"/>
      </w:pPr>
      <w:r>
        <w:rPr>
          <w:rFonts w:ascii="Courier New" w:cs="Courier New" w:eastAsia="Courier New" w:hAnsi="Courier New"/>
          <w:sz w:val="20"/>
          <w:szCs w:val="20"/>
        </w:rPr>
        <w:t xml:space="preserve">  → Recommendation: ukraine_shock is currently most explanatory</w:t>
      </w:r>
    </w:p>
    <w:p>
      <w:pPr>
        <w:spacing w:after="0" w:before="0"/>
      </w:pPr>
      <w:r>
        <w:t xml:space="preserve"/>
      </w:r>
    </w:p>
    <w:p>
      <w:pPr>
        <w:pStyle w:val="Heading2"/>
        <w:spacing w:after="80" w:before="240"/>
      </w:pPr>
      <w:r>
        <w:rPr>
          <w:rFonts w:ascii="Arial" w:cs="Arial" w:eastAsia="Arial" w:hAnsi="Arial"/>
          <w:b/>
          <w:bCs/>
          <w:color w:val="2E75B6"/>
          <w:sz w:val="28"/>
          <w:szCs w:val="28"/>
        </w:rPr>
        <w:t xml:space="preserve">3.3  Reading the SNR table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600"/>
        <w:gridCol w:w="5280"/>
      </w:tblGrid>
      <w:tr>
        <w:tc>
          <w:tcPr>
            <w:tcW w:type="dxa" w:w="160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center"/>
          </w:tcPr>
          <w:p>
            <w:r>
              <w:rPr>
                <w:rFonts w:ascii="Arial" w:cs="Arial" w:eastAsia="Arial" w:hAnsi="Arial"/>
                <w:b/>
                <w:bCs/>
                <w:color w:val="FFFFFF"/>
                <w:sz w:val="22"/>
                <w:szCs w:val="22"/>
              </w:rPr>
              <w:t xml:space="preserve">SNR</w:t>
            </w:r>
          </w:p>
        </w:tc>
        <w:tc>
          <w:tcPr>
            <w:tcW w:type="dxa" w:w="160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center"/>
          </w:tcPr>
          <w:p>
            <w:r>
              <w:rPr>
                <w:rFonts w:ascii="Arial" w:cs="Arial" w:eastAsia="Arial" w:hAnsi="Arial"/>
                <w:b/>
                <w:bCs/>
                <w:color w:val="FFFFFF"/>
                <w:sz w:val="22"/>
                <w:szCs w:val="22"/>
              </w:rPr>
              <w:t xml:space="preserve">R²</w:t>
            </w:r>
          </w:p>
        </w:tc>
        <w:tc>
          <w:tcPr>
            <w:tcW w:type="dxa" w:w="160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center"/>
          </w:tcPr>
          <w:p>
            <w:r>
              <w:rPr>
                <w:rFonts w:ascii="Arial" w:cs="Arial" w:eastAsia="Arial" w:hAnsi="Arial"/>
                <w:b/>
                <w:bCs/>
                <w:color w:val="FFFFFF"/>
                <w:sz w:val="22"/>
                <w:szCs w:val="22"/>
              </w:rPr>
              <w:t xml:space="preserve">Status</w:t>
            </w:r>
          </w:p>
        </w:tc>
        <w:tc>
          <w:tcPr>
            <w:tcW w:type="dxa" w:w="528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center"/>
          </w:tcPr>
          <w:p>
            <w:r>
              <w:rPr>
                <w:rFonts w:ascii="Arial" w:cs="Arial" w:eastAsia="Arial" w:hAnsi="Arial"/>
                <w:b/>
                <w:bCs/>
                <w:color w:val="FFFFFF"/>
                <w:sz w:val="22"/>
                <w:szCs w:val="22"/>
              </w:rPr>
              <w:t xml:space="preserve">Meaning</w:t>
            </w:r>
          </w:p>
        </w:tc>
      </w:tr>
      <w:tr>
        <w:tc>
          <w:tcPr>
            <w:tcW w:type="dxa" w:w="1600"/>
            <w:tcBorders>
              <w:top w:val="single" w:color="CCCCCC" w:sz="1"/>
              <w:left w:val="single" w:color="CCCCCC" w:sz="1"/>
              <w:bottom w:val="single" w:color="CCCCCC" w:sz="1"/>
              <w:right w:val="single" w:color="CCCCCC" w:sz="1"/>
            </w:tcBorders>
            <w:shd w:fill="E2EFDA" w:val="clear"/>
            <w:tcMar>
              <w:top w:type="dxa" w:w="80"/>
              <w:left w:type="dxa" w:w="140"/>
              <w:bottom w:type="dxa" w:w="80"/>
              <w:right w:type="dxa" w:w="140"/>
            </w:tcMar>
          </w:tcPr>
          <w:p>
            <w:r>
              <w:rPr>
                <w:rFonts w:ascii="Arial" w:cs="Arial" w:eastAsia="Arial" w:hAnsi="Arial"/>
                <w:sz w:val="22"/>
                <w:szCs w:val="22"/>
              </w:rPr>
              <w:t xml:space="preserve">≥ 2.0</w:t>
            </w:r>
          </w:p>
        </w:tc>
        <w:tc>
          <w:tcPr>
            <w:tcW w:type="dxa" w:w="1600"/>
            <w:tcBorders>
              <w:top w:val="single" w:color="CCCCCC" w:sz="1"/>
              <w:left w:val="single" w:color="CCCCCC" w:sz="1"/>
              <w:bottom w:val="single" w:color="CCCCCC" w:sz="1"/>
              <w:right w:val="single" w:color="CCCCCC" w:sz="1"/>
            </w:tcBorders>
            <w:shd w:fill="E2EFDA" w:val="clear"/>
            <w:tcMar>
              <w:top w:type="dxa" w:w="80"/>
              <w:left w:type="dxa" w:w="140"/>
              <w:bottom w:type="dxa" w:w="80"/>
              <w:right w:type="dxa" w:w="140"/>
            </w:tcMar>
          </w:tcPr>
          <w:p>
            <w:r>
              <w:rPr>
                <w:rFonts w:ascii="Arial" w:cs="Arial" w:eastAsia="Arial" w:hAnsi="Arial"/>
                <w:sz w:val="22"/>
                <w:szCs w:val="22"/>
              </w:rPr>
              <w:t xml:space="preserve">&gt; 0.67</w:t>
            </w:r>
          </w:p>
        </w:tc>
        <w:tc>
          <w:tcPr>
            <w:tcW w:type="dxa" w:w="1600"/>
            <w:tcBorders>
              <w:top w:val="single" w:color="CCCCCC" w:sz="1"/>
              <w:left w:val="single" w:color="CCCCCC" w:sz="1"/>
              <w:bottom w:val="single" w:color="CCCCCC" w:sz="1"/>
              <w:right w:val="single" w:color="CCCCCC" w:sz="1"/>
            </w:tcBorders>
            <w:shd w:fill="E2EFDA" w:val="clear"/>
            <w:tcMar>
              <w:top w:type="dxa" w:w="80"/>
              <w:left w:type="dxa" w:w="140"/>
              <w:bottom w:type="dxa" w:w="80"/>
              <w:right w:type="dxa" w:w="140"/>
            </w:tcMar>
          </w:tcPr>
          <w:p>
            <w:r>
              <w:rPr>
                <w:rFonts w:ascii="Arial" w:cs="Arial" w:eastAsia="Arial" w:hAnsi="Arial"/>
                <w:b/>
                <w:bCs/>
                <w:sz w:val="22"/>
                <w:szCs w:val="22"/>
              </w:rPr>
              <w:t xml:space="preserve">ACTIVE</w:t>
            </w:r>
          </w:p>
        </w:tc>
        <w:tc>
          <w:tcPr>
            <w:tcW w:type="dxa" w:w="5280"/>
            <w:tcBorders>
              <w:top w:val="single" w:color="CCCCCC" w:sz="1"/>
              <w:left w:val="single" w:color="CCCCCC" w:sz="1"/>
              <w:bottom w:val="single" w:color="CCCCCC" w:sz="1"/>
              <w:right w:val="single" w:color="CCCCCC" w:sz="1"/>
            </w:tcBorders>
            <w:shd w:fill="E2EFDA" w:val="clear"/>
            <w:tcMar>
              <w:top w:type="dxa" w:w="80"/>
              <w:left w:type="dxa" w:w="140"/>
              <w:bottom w:type="dxa" w:w="80"/>
              <w:right w:type="dxa" w:w="140"/>
            </w:tcMar>
          </w:tcPr>
          <w:p>
            <w:r>
              <w:rPr>
                <w:rFonts w:ascii="Arial" w:cs="Arial" w:eastAsia="Arial" w:hAnsi="Arial"/>
                <w:sz w:val="22"/>
                <w:szCs w:val="22"/>
              </w:rPr>
              <w:t xml:space="preserve">Regime highly explanatory. Trust signals at full size.</w:t>
            </w:r>
          </w:p>
        </w:tc>
      </w:tr>
      <w:tr>
        <w:tc>
          <w:tcPr>
            <w:tcW w:type="dxa" w:w="1600"/>
            <w:tcBorders>
              <w:top w:val="single" w:color="CCCCCC" w:sz="1"/>
              <w:left w:val="single" w:color="CCCCCC" w:sz="1"/>
              <w:bottom w:val="single" w:color="CCCCCC" w:sz="1"/>
              <w:right w:val="single" w:color="CCCCCC" w:sz="1"/>
            </w:tcBorders>
            <w:shd w:fill="FFF2CC" w:val="clear"/>
            <w:tcMar>
              <w:top w:type="dxa" w:w="80"/>
              <w:left w:type="dxa" w:w="140"/>
              <w:bottom w:type="dxa" w:w="80"/>
              <w:right w:type="dxa" w:w="140"/>
            </w:tcMar>
          </w:tcPr>
          <w:p>
            <w:r>
              <w:rPr>
                <w:rFonts w:ascii="Arial" w:cs="Arial" w:eastAsia="Arial" w:hAnsi="Arial"/>
                <w:sz w:val="22"/>
                <w:szCs w:val="22"/>
              </w:rPr>
              <w:t xml:space="preserve">1.0–2.0</w:t>
            </w:r>
          </w:p>
        </w:tc>
        <w:tc>
          <w:tcPr>
            <w:tcW w:type="dxa" w:w="1600"/>
            <w:tcBorders>
              <w:top w:val="single" w:color="CCCCCC" w:sz="1"/>
              <w:left w:val="single" w:color="CCCCCC" w:sz="1"/>
              <w:bottom w:val="single" w:color="CCCCCC" w:sz="1"/>
              <w:right w:val="single" w:color="CCCCCC" w:sz="1"/>
            </w:tcBorders>
            <w:shd w:fill="FFF2CC" w:val="clear"/>
            <w:tcMar>
              <w:top w:type="dxa" w:w="80"/>
              <w:left w:type="dxa" w:w="140"/>
              <w:bottom w:type="dxa" w:w="80"/>
              <w:right w:type="dxa" w:w="140"/>
            </w:tcMar>
          </w:tcPr>
          <w:p>
            <w:r>
              <w:rPr>
                <w:rFonts w:ascii="Arial" w:cs="Arial" w:eastAsia="Arial" w:hAnsi="Arial"/>
                <w:sz w:val="22"/>
                <w:szCs w:val="22"/>
              </w:rPr>
              <w:t xml:space="preserve">0.50–0.67</w:t>
            </w:r>
          </w:p>
        </w:tc>
        <w:tc>
          <w:tcPr>
            <w:tcW w:type="dxa" w:w="1600"/>
            <w:tcBorders>
              <w:top w:val="single" w:color="CCCCCC" w:sz="1"/>
              <w:left w:val="single" w:color="CCCCCC" w:sz="1"/>
              <w:bottom w:val="single" w:color="CCCCCC" w:sz="1"/>
              <w:right w:val="single" w:color="CCCCCC" w:sz="1"/>
            </w:tcBorders>
            <w:shd w:fill="FFF2CC" w:val="clear"/>
            <w:tcMar>
              <w:top w:type="dxa" w:w="80"/>
              <w:left w:type="dxa" w:w="140"/>
              <w:bottom w:type="dxa" w:w="80"/>
              <w:right w:type="dxa" w:w="140"/>
            </w:tcMar>
          </w:tcPr>
          <w:p>
            <w:r>
              <w:rPr>
                <w:rFonts w:ascii="Arial" w:cs="Arial" w:eastAsia="Arial" w:hAnsi="Arial"/>
                <w:b/>
                <w:bCs/>
                <w:sz w:val="22"/>
                <w:szCs w:val="22"/>
              </w:rPr>
              <w:t xml:space="preserve">DEGRADED</w:t>
            </w:r>
          </w:p>
        </w:tc>
        <w:tc>
          <w:tcPr>
            <w:tcW w:type="dxa" w:w="5280"/>
            <w:tcBorders>
              <w:top w:val="single" w:color="CCCCCC" w:sz="1"/>
              <w:left w:val="single" w:color="CCCCCC" w:sz="1"/>
              <w:bottom w:val="single" w:color="CCCCCC" w:sz="1"/>
              <w:right w:val="single" w:color="CCCCCC" w:sz="1"/>
            </w:tcBorders>
            <w:shd w:fill="FFF2CC" w:val="clear"/>
            <w:tcMar>
              <w:top w:type="dxa" w:w="80"/>
              <w:left w:type="dxa" w:w="140"/>
              <w:bottom w:type="dxa" w:w="80"/>
              <w:right w:type="dxa" w:w="140"/>
            </w:tcMar>
          </w:tcPr>
          <w:p>
            <w:r>
              <w:rPr>
                <w:rFonts w:ascii="Arial" w:cs="Arial" w:eastAsia="Arial" w:hAnsi="Arial"/>
                <w:sz w:val="22"/>
                <w:szCs w:val="22"/>
              </w:rPr>
              <w:t xml:space="preserve">Regime drifting. Reduce position size; consider switching.</w:t>
            </w:r>
          </w:p>
        </w:tc>
      </w:tr>
      <w:tr>
        <w:tc>
          <w:tcPr>
            <w:tcW w:type="dxa" w:w="1600"/>
            <w:tcBorders>
              <w:top w:val="single" w:color="CCCCCC" w:sz="1"/>
              <w:left w:val="single" w:color="CCCCCC" w:sz="1"/>
              <w:bottom w:val="single" w:color="CCCCCC" w:sz="1"/>
              <w:right w:val="single" w:color="CCCCCC" w:sz="1"/>
            </w:tcBorders>
            <w:shd w:fill="FCE4D6" w:val="clear"/>
            <w:tcMar>
              <w:top w:type="dxa" w:w="80"/>
              <w:left w:type="dxa" w:w="140"/>
              <w:bottom w:type="dxa" w:w="80"/>
              <w:right w:type="dxa" w:w="140"/>
            </w:tcMar>
          </w:tcPr>
          <w:p>
            <w:r>
              <w:rPr>
                <w:rFonts w:ascii="Arial" w:cs="Arial" w:eastAsia="Arial" w:hAnsi="Arial"/>
                <w:sz w:val="22"/>
                <w:szCs w:val="22"/>
              </w:rPr>
              <w:t xml:space="preserve">&lt; 1.0</w:t>
            </w:r>
          </w:p>
        </w:tc>
        <w:tc>
          <w:tcPr>
            <w:tcW w:type="dxa" w:w="1600"/>
            <w:tcBorders>
              <w:top w:val="single" w:color="CCCCCC" w:sz="1"/>
              <w:left w:val="single" w:color="CCCCCC" w:sz="1"/>
              <w:bottom w:val="single" w:color="CCCCCC" w:sz="1"/>
              <w:right w:val="single" w:color="CCCCCC" w:sz="1"/>
            </w:tcBorders>
            <w:shd w:fill="FCE4D6" w:val="clear"/>
            <w:tcMar>
              <w:top w:type="dxa" w:w="80"/>
              <w:left w:type="dxa" w:w="140"/>
              <w:bottom w:type="dxa" w:w="80"/>
              <w:right w:type="dxa" w:w="140"/>
            </w:tcMar>
          </w:tcPr>
          <w:p>
            <w:r>
              <w:rPr>
                <w:rFonts w:ascii="Arial" w:cs="Arial" w:eastAsia="Arial" w:hAnsi="Arial"/>
                <w:sz w:val="22"/>
                <w:szCs w:val="22"/>
              </w:rPr>
              <w:t xml:space="preserve">&lt; 0.50</w:t>
            </w:r>
          </w:p>
        </w:tc>
        <w:tc>
          <w:tcPr>
            <w:tcW w:type="dxa" w:w="1600"/>
            <w:tcBorders>
              <w:top w:val="single" w:color="CCCCCC" w:sz="1"/>
              <w:left w:val="single" w:color="CCCCCC" w:sz="1"/>
              <w:bottom w:val="single" w:color="CCCCCC" w:sz="1"/>
              <w:right w:val="single" w:color="CCCCCC" w:sz="1"/>
            </w:tcBorders>
            <w:shd w:fill="FCE4D6" w:val="clear"/>
            <w:tcMar>
              <w:top w:type="dxa" w:w="80"/>
              <w:left w:type="dxa" w:w="140"/>
              <w:bottom w:type="dxa" w:w="80"/>
              <w:right w:type="dxa" w:w="140"/>
            </w:tcMar>
          </w:tcPr>
          <w:p>
            <w:r>
              <w:rPr>
                <w:rFonts w:ascii="Arial" w:cs="Arial" w:eastAsia="Arial" w:hAnsi="Arial"/>
                <w:b/>
                <w:bCs/>
                <w:sz w:val="22"/>
                <w:szCs w:val="22"/>
              </w:rPr>
              <w:t xml:space="preserve">POOR</w:t>
            </w:r>
          </w:p>
        </w:tc>
        <w:tc>
          <w:tcPr>
            <w:tcW w:type="dxa" w:w="5280"/>
            <w:tcBorders>
              <w:top w:val="single" w:color="CCCCCC" w:sz="1"/>
              <w:left w:val="single" w:color="CCCCCC" w:sz="1"/>
              <w:bottom w:val="single" w:color="CCCCCC" w:sz="1"/>
              <w:right w:val="single" w:color="CCCCCC" w:sz="1"/>
            </w:tcBorders>
            <w:shd w:fill="FCE4D6" w:val="clear"/>
            <w:tcMar>
              <w:top w:type="dxa" w:w="80"/>
              <w:left w:type="dxa" w:w="140"/>
              <w:bottom w:type="dxa" w:w="80"/>
              <w:right w:type="dxa" w:w="140"/>
            </w:tcMar>
          </w:tcPr>
          <w:p>
            <w:r>
              <w:rPr>
                <w:rFonts w:ascii="Arial" w:cs="Arial" w:eastAsia="Arial" w:hAnsi="Arial"/>
                <w:sz w:val="22"/>
                <w:szCs w:val="22"/>
              </w:rPr>
              <w:t xml:space="preserve">Factors not explaining live returns. Switch regimes.</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w:t>
            </w:r>
          </w:p>
        </w:tc>
        <w:tc>
          <w:tcPr>
            <w:tcW w:type="dxa" w:w="16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w:t>
            </w:r>
          </w:p>
        </w:tc>
        <w:tc>
          <w:tcPr>
            <w:tcW w:type="dxa" w:w="16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b/>
                <w:bCs/>
                <w:sz w:val="22"/>
                <w:szCs w:val="22"/>
              </w:rPr>
              <w:t xml:space="preserve">NO DATA</w:t>
            </w:r>
          </w:p>
        </w:tc>
        <w:tc>
          <w:tcPr>
            <w:tcW w:type="dxa" w:w="528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No archive for this regime. Run score --save-recent with the regime active.</w:t>
            </w:r>
          </w:p>
        </w:tc>
      </w:tr>
    </w:tbl>
    <w:p>
      <w:pPr>
        <w:spacing w:after="0" w:before="0"/>
      </w:pPr>
      <w:r>
        <w:t xml:space="preserve"/>
      </w:r>
    </w:p>
    <w:p>
      <w:pPr>
        <w:pStyle w:val="Heading2"/>
        <w:spacing w:after="80" w:before="240"/>
      </w:pPr>
      <w:r>
        <w:rPr>
          <w:rFonts w:ascii="Arial" w:cs="Arial" w:eastAsia="Arial" w:hAnsi="Arial"/>
          <w:b/>
          <w:bCs/>
          <w:color w:val="2E75B6"/>
          <w:sz w:val="28"/>
          <w:szCs w:val="28"/>
        </w:rPr>
        <w:t xml:space="preserve">3.4  Archive column reference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5480"/>
      </w:tblGrid>
      <w:tr>
        <w:tc>
          <w:tcPr>
            <w:tcW w:type="dxa" w:w="180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center"/>
          </w:tcPr>
          <w:p>
            <w:r>
              <w:rPr>
                <w:rFonts w:ascii="Arial" w:cs="Arial" w:eastAsia="Arial" w:hAnsi="Arial"/>
                <w:b/>
                <w:bCs/>
                <w:color w:val="FFFFFF"/>
                <w:sz w:val="22"/>
                <w:szCs w:val="22"/>
              </w:rPr>
              <w:t xml:space="preserve">Column</w:t>
            </w:r>
          </w:p>
        </w:tc>
        <w:tc>
          <w:tcPr>
            <w:tcW w:type="dxa" w:w="280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center"/>
          </w:tcPr>
          <w:p>
            <w:r>
              <w:rPr>
                <w:rFonts w:ascii="Arial" w:cs="Arial" w:eastAsia="Arial" w:hAnsi="Arial"/>
                <w:b/>
                <w:bCs/>
                <w:color w:val="FFFFFF"/>
                <w:sz w:val="22"/>
                <w:szCs w:val="22"/>
              </w:rPr>
              <w:t xml:space="preserve">Source</w:t>
            </w:r>
          </w:p>
        </w:tc>
        <w:tc>
          <w:tcPr>
            <w:tcW w:type="dxa" w:w="548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center"/>
          </w:tcPr>
          <w:p>
            <w:r>
              <w:rPr>
                <w:rFonts w:ascii="Arial" w:cs="Arial" w:eastAsia="Arial" w:hAnsi="Arial"/>
                <w:b/>
                <w:bCs/>
                <w:color w:val="FFFFFF"/>
                <w:sz w:val="22"/>
                <w:szCs w:val="22"/>
              </w:rPr>
              <w:t xml:space="preserve">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Courier New" w:cs="Courier New" w:eastAsia="Courier New" w:hAnsi="Courier New"/>
                <w:sz w:val="20"/>
                <w:szCs w:val="20"/>
              </w:rPr>
              <w:t xml:space="preserve">date</w:t>
            </w:r>
          </w:p>
        </w:tc>
        <w:tc>
          <w:tcPr>
            <w:tcW w:type="dxa" w:w="28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score_date arg</w:t>
            </w:r>
          </w:p>
        </w:tc>
        <w:tc>
          <w:tcPr>
            <w:tcW w:type="dxa" w:w="548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ISO string YYYY-MM-DD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sz w:val="20"/>
                <w:szCs w:val="20"/>
              </w:rPr>
              <w:t xml:space="preserve">actual</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actual_return</w:t>
            </w:r>
          </w:p>
        </w:tc>
        <w:tc>
          <w:tcPr>
            <w:tcW w:type="dxa" w:w="5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Observed return. On 2026-05-30: TXN = -0.0325.</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Courier New" w:cs="Courier New" w:eastAsia="Courier New" w:hAnsi="Courier New"/>
                <w:sz w:val="20"/>
                <w:szCs w:val="20"/>
              </w:rPr>
              <w:t xml:space="preserve">expected</w:t>
            </w:r>
          </w:p>
        </w:tc>
        <w:tc>
          <w:tcPr>
            <w:tcW w:type="dxa" w:w="28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expected_rel</w:t>
            </w:r>
          </w:p>
        </w:tc>
        <w:tc>
          <w:tcPr>
            <w:tcW w:type="dxa" w:w="548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Factor-model predicted return (relative). TXN = -0.0012.</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sz w:val="20"/>
                <w:szCs w:val="20"/>
              </w:rPr>
              <w:t xml:space="preserve">delta</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delta_rel</w:t>
            </w:r>
          </w:p>
        </w:tc>
        <w:tc>
          <w:tcPr>
            <w:tcW w:type="dxa" w:w="5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expected minus actual. TXN = +0.0313 (positive = long signal).</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Courier New" w:cs="Courier New" w:eastAsia="Courier New" w:hAnsi="Courier New"/>
                <w:sz w:val="20"/>
                <w:szCs w:val="20"/>
              </w:rPr>
              <w:t xml:space="preserve">r2</w:t>
            </w:r>
          </w:p>
        </w:tc>
        <w:tc>
          <w:tcPr>
            <w:tcW w:type="dxa" w:w="28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r_squared</w:t>
            </w:r>
          </w:p>
        </w:tc>
        <w:tc>
          <w:tcPr>
            <w:tcW w:type="dxa" w:w="548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Per-stock R² from calibration. TXN = 0.645.</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sz w:val="20"/>
                <w:szCs w:val="20"/>
              </w:rPr>
              <w:t xml:space="preserve">conf_delta</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confidence_delta</w:t>
            </w:r>
          </w:p>
        </w:tc>
        <w:tc>
          <w:tcPr>
            <w:tcW w:type="dxa" w:w="5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delta × R². TXN = +0.02022. Primary ranking signal.</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Courier New" w:cs="Courier New" w:eastAsia="Courier New" w:hAnsi="Courier New"/>
                <w:sz w:val="20"/>
                <w:szCs w:val="20"/>
              </w:rPr>
              <w:t xml:space="preserve">next_day_actual</w:t>
            </w:r>
          </w:p>
        </w:tc>
        <w:tc>
          <w:tcPr>
            <w:tcW w:type="dxa" w:w="28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backfilled next run</w:t>
            </w:r>
          </w:p>
        </w:tc>
        <w:tc>
          <w:tcPr>
            <w:tcW w:type="dxa" w:w="548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Next trading day's actual return. NaN until the following day's score run backfills it.</w:t>
            </w:r>
          </w:p>
        </w:tc>
      </w:tr>
    </w:tbl>
    <w:p>
      <w:r>
        <w:br w:type="page"/>
      </w:r>
    </w:p>
    <w:p>
      <w:pPr>
        <w:pStyle w:val="Heading1"/>
        <w:spacing w:after="120" w:before="360"/>
      </w:pPr>
      <w:r>
        <w:rPr>
          <w:rFonts w:ascii="Arial" w:cs="Arial" w:eastAsia="Arial" w:hAnsi="Arial"/>
          <w:b/>
          <w:bCs/>
          <w:color w:val="1F4E79"/>
          <w:sz w:val="36"/>
          <w:szCs w:val="36"/>
        </w:rPr>
        <w:t xml:space="preserve">4  Backtesting</w:t>
      </w:r>
    </w:p>
    <w:p>
      <w:pPr>
        <w:spacing w:after="60" w:before="60"/>
      </w:pPr>
      <w:r>
        <w:rPr>
          <w:rFonts w:ascii="Arial" w:cs="Arial" w:eastAsia="Arial" w:hAnsi="Arial"/>
          <w:sz w:val="22"/>
          <w:szCs w:val="22"/>
        </w:rPr>
        <w:t xml:space="preserve">The backtest engine measures how well the model's daily picks performed historically — both in absolute terms (raw) and as the delta to the model (residual, factor-hedged).</w:t>
      </w:r>
    </w:p>
    <w:p>
      <w:pPr>
        <w:spacing w:after="0" w:before="0"/>
      </w:pPr>
      <w:r>
        <w:t xml:space="preserve"/>
      </w:r>
    </w:p>
    <w:p>
      <w:pPr>
        <w:pStyle w:val="Heading2"/>
        <w:spacing w:after="80" w:before="240"/>
      </w:pPr>
      <w:r>
        <w:rPr>
          <w:rFonts w:ascii="Arial" w:cs="Arial" w:eastAsia="Arial" w:hAnsi="Arial"/>
          <w:b/>
          <w:bCs/>
          <w:color w:val="2E75B6"/>
          <w:sz w:val="28"/>
          <w:szCs w:val="28"/>
        </w:rPr>
        <w:t xml:space="preserve">4.1  Two modes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4680"/>
      </w:tblGrid>
      <w:tr>
        <w:tc>
          <w:tcPr>
            <w:tcW w:type="dxa" w:w="180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center"/>
          </w:tcPr>
          <w:p>
            <w:r>
              <w:rPr>
                <w:rFonts w:ascii="Arial" w:cs="Arial" w:eastAsia="Arial" w:hAnsi="Arial"/>
                <w:b/>
                <w:bCs/>
                <w:color w:val="FFFFFF"/>
                <w:sz w:val="22"/>
                <w:szCs w:val="22"/>
              </w:rPr>
              <w:t xml:space="preserve">Mode</w:t>
            </w:r>
          </w:p>
        </w:tc>
        <w:tc>
          <w:tcPr>
            <w:tcW w:type="dxa" w:w="360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center"/>
          </w:tcPr>
          <w:p>
            <w:r>
              <w:rPr>
                <w:rFonts w:ascii="Arial" w:cs="Arial" w:eastAsia="Arial" w:hAnsi="Arial"/>
                <w:b/>
                <w:bCs/>
                <w:color w:val="FFFFFF"/>
                <w:sz w:val="22"/>
                <w:szCs w:val="22"/>
              </w:rPr>
              <w:t xml:space="preserve">When to use</w:t>
            </w:r>
          </w:p>
        </w:tc>
        <w:tc>
          <w:tcPr>
            <w:tcW w:type="dxa" w:w="468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center"/>
          </w:tcPr>
          <w:p>
            <w:r>
              <w:rPr>
                <w:rFonts w:ascii="Arial" w:cs="Arial" w:eastAsia="Arial" w:hAnsi="Arial"/>
                <w:b/>
                <w:bCs/>
                <w:color w:val="FFFFFF"/>
                <w:sz w:val="22"/>
                <w:szCs w:val="22"/>
              </w:rPr>
              <w:t xml:space="preserve">How</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Rolling</w:t>
            </w:r>
          </w:p>
        </w:tc>
        <w:tc>
          <w:tcPr>
            <w:tcW w:type="dxa" w:w="36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In-sample consistency check within the calibration window.</w:t>
            </w:r>
          </w:p>
        </w:tc>
        <w:tc>
          <w:tcPr>
            <w:tcW w:type="dxa" w:w="468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shockarb backtest (no --model). Fits and tests within the historical regime dates.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Static (out-of-sample)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Validate the saved model against recent live data. The meaningful test.</w:t>
            </w:r>
          </w:p>
        </w:tc>
        <w:tc>
          <w:tcPr>
            <w:tcW w:type="dxa" w:w="4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Add --model path/to/model.json. Tests the frozen model against the last N trading days.</w:t>
            </w:r>
          </w:p>
        </w:tc>
      </w:tr>
    </w:tbl>
    <w:p>
      <w:pPr>
        <w:spacing w:after="0" w:before="0"/>
      </w:pPr>
      <w:r>
        <w:t xml:space="preserve"/>
      </w:r>
    </w:p>
    <w:p>
      <w:pPr>
        <w:pStyle w:val="Heading2"/>
        <w:spacing w:after="80" w:before="240"/>
      </w:pPr>
      <w:r>
        <w:rPr>
          <w:rFonts w:ascii="Arial" w:cs="Arial" w:eastAsia="Arial" w:hAnsi="Arial"/>
          <w:b/>
          <w:bCs/>
          <w:color w:val="2E75B6"/>
          <w:sz w:val="28"/>
          <w:szCs w:val="28"/>
        </w:rPr>
        <w:t xml:space="preserve">4.2  Key flags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88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center"/>
          </w:tcPr>
          <w:p>
            <w:r>
              <w:rPr>
                <w:rFonts w:ascii="Arial" w:cs="Arial" w:eastAsia="Arial" w:hAnsi="Arial"/>
                <w:b/>
                <w:bCs/>
                <w:color w:val="FFFFFF"/>
                <w:sz w:val="22"/>
                <w:szCs w:val="22"/>
              </w:rPr>
              <w:t xml:space="preserve">Flag</w:t>
            </w:r>
          </w:p>
        </w:tc>
        <w:tc>
          <w:tcPr>
            <w:tcW w:type="dxa" w:w="180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center"/>
          </w:tcPr>
          <w:p>
            <w:r>
              <w:rPr>
                <w:rFonts w:ascii="Arial" w:cs="Arial" w:eastAsia="Arial" w:hAnsi="Arial"/>
                <w:b/>
                <w:bCs/>
                <w:color w:val="FFFFFF"/>
                <w:sz w:val="22"/>
                <w:szCs w:val="22"/>
              </w:rPr>
              <w:t xml:space="preserve">Default</w:t>
            </w:r>
          </w:p>
        </w:tc>
        <w:tc>
          <w:tcPr>
            <w:tcW w:type="dxa" w:w="588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center"/>
          </w:tcPr>
          <w:p>
            <w:r>
              <w:rPr>
                <w:rFonts w:ascii="Arial" w:cs="Arial" w:eastAsia="Arial" w:hAnsi="Arial"/>
                <w:b/>
                <w:bCs/>
                <w:color w:val="FFFFFF"/>
                <w:sz w:val="22"/>
                <w:szCs w:val="22"/>
              </w:rPr>
              <w:t xml:space="preserve">Effect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Courier New" w:cs="Courier New" w:eastAsia="Courier New" w:hAnsi="Courier New"/>
                <w:sz w:val="20"/>
                <w:szCs w:val="20"/>
              </w:rPr>
              <w:t xml:space="preserve">--return-type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Courier New" w:cs="Courier New" w:eastAsia="Courier New" w:hAnsi="Courier New"/>
                <w:sz w:val="20"/>
                <w:szCs w:val="20"/>
              </w:rPr>
              <w:t xml:space="preserve">both</w:t>
            </w:r>
          </w:p>
        </w:tc>
        <w:tc>
          <w:tcPr>
            <w:tcW w:type="dxa" w:w="588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raw = gross return on longs. residual = factor-hedged return (delta to model). both = side by side.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sz w:val="20"/>
                <w:szCs w:val="20"/>
              </w:rPr>
              <w:t xml:space="preserve">--holding-periods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sz w:val="20"/>
                <w:szCs w:val="20"/>
              </w:rPr>
              <w:t xml:space="preserve">1 2 3 5</w:t>
            </w:r>
          </w:p>
        </w:tc>
        <w:tc>
          <w:tcPr>
            <w:tcW w:type="dxa" w:w="5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Holding durations to test (space-separated). Reports mean return at each horizon.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Courier New" w:cs="Courier New" w:eastAsia="Courier New" w:hAnsi="Courier New"/>
                <w:sz w:val="20"/>
                <w:szCs w:val="20"/>
              </w:rPr>
              <w:t xml:space="preserve">--top-n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Courier New" w:cs="Courier New" w:eastAsia="Courier New" w:hAnsi="Courier New"/>
                <w:sz w:val="20"/>
                <w:szCs w:val="20"/>
              </w:rPr>
              <w:t xml:space="preserve">10</w:t>
            </w:r>
          </w:p>
        </w:tc>
        <w:tc>
          <w:tcPr>
            <w:tcW w:type="dxa" w:w="588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Max positions entered per day.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sz w:val="20"/>
                <w:szCs w:val="20"/>
              </w:rPr>
              <w:t xml:space="preserve">--min-confidence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sz w:val="20"/>
                <w:szCs w:val="20"/>
              </w:rPr>
              <w:t xml:space="preserve">0.005</w:t>
            </w:r>
          </w:p>
        </w:tc>
        <w:tc>
          <w:tcPr>
            <w:tcW w:type="dxa" w:w="5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Entry threshold on confidence_delta.</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Courier New" w:cs="Courier New" w:eastAsia="Courier New" w:hAnsi="Courier New"/>
                <w:sz w:val="20"/>
                <w:szCs w:val="20"/>
              </w:rPr>
              <w:t xml:space="preserve">--min-r-squared</w:t>
            </w:r>
          </w:p>
        </w:tc>
        <w:tc>
          <w:tcPr>
            <w:tcW w:type="dxa" w:w="18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Courier New" w:cs="Courier New" w:eastAsia="Courier New" w:hAnsi="Courier New"/>
                <w:sz w:val="20"/>
                <w:szCs w:val="20"/>
              </w:rPr>
              <w:t xml:space="preserve">0.50</w:t>
            </w:r>
          </w:p>
        </w:tc>
        <w:tc>
          <w:tcPr>
            <w:tcW w:type="dxa" w:w="588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Minimum R² for entry.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sz w:val="20"/>
                <w:szCs w:val="20"/>
              </w:rPr>
              <w:t xml:space="preserve">--trailing-window</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sz w:val="20"/>
                <w:szCs w:val="20"/>
              </w:rPr>
              <w:t xml:space="preserve">120</w:t>
            </w:r>
          </w:p>
        </w:tc>
        <w:tc>
          <w:tcPr>
            <w:tcW w:type="dxa" w:w="5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Days of recent data for static (out-of-sample) mode.</w:t>
            </w:r>
          </w:p>
        </w:tc>
      </w:tr>
    </w:tbl>
    <w:p>
      <w:pPr>
        <w:spacing w:after="0" w:before="0"/>
      </w:pPr>
      <w:r>
        <w:t xml:space="preserve"/>
      </w:r>
    </w:p>
    <w:p>
      <w:pPr>
        <w:pStyle w:val="Heading2"/>
        <w:spacing w:after="80" w:before="240"/>
      </w:pPr>
      <w:r>
        <w:rPr>
          <w:rFonts w:ascii="Arial" w:cs="Arial" w:eastAsia="Arial" w:hAnsi="Arial"/>
          <w:b/>
          <w:bCs/>
          <w:color w:val="2E75B6"/>
          <w:sz w:val="28"/>
          <w:szCs w:val="28"/>
        </w:rPr>
        <w:t xml:space="preserve">4.3  Example: static out-of-sample backtest</w:t>
      </w:r>
    </w:p>
    <w:p>
      <w:pPr>
        <w:spacing w:after="60" w:before="60"/>
      </w:pPr>
      <w:r>
        <w:rPr>
          <w:rFonts w:ascii="Arial" w:cs="Arial" w:eastAsia="Arial" w:hAnsi="Arial"/>
          <w:sz w:val="22"/>
          <w:szCs w:val="22"/>
        </w:rPr>
        <w:t xml:space="preserve">Using the current ukraine_shock model against the last 120 trading days:</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shockarb backtest \</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--model data\ukraine_shock_us_20260528_143030.json \</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--trailing-window 120 \</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--return-type residual \</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--holding-periods 1 2 3 5 \</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--min-confidence 0.005 \</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--min-r-squared 0.50 \</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--top-n 5</w:t>
      </w:r>
    </w:p>
    <w:p>
      <w:pPr>
        <w:spacing w:after="0" w:before="0"/>
      </w:pPr>
      <w:r>
        <w:t xml:space="preserve"/>
      </w:r>
    </w:p>
    <w:p>
      <w:pPr>
        <w:pStyle w:val="Heading2"/>
        <w:spacing w:after="80" w:before="240"/>
      </w:pPr>
      <w:r>
        <w:rPr>
          <w:rFonts w:ascii="Arial" w:cs="Arial" w:eastAsia="Arial" w:hAnsi="Arial"/>
          <w:b/>
          <w:bCs/>
          <w:color w:val="2E75B6"/>
          <w:sz w:val="28"/>
          <w:szCs w:val="28"/>
        </w:rPr>
        <w:t xml:space="preserve">4.4  Interpreting results</w:t>
      </w:r>
    </w:p>
    <w:p>
      <w:pPr>
        <w:pStyle w:val="ListParagraph"/>
        <w:numPr>
          <w:ilvl w:val="0"/>
          <w:numId w:val="2"/>
        </w:numPr>
        <w:spacing w:after="40" w:before="40"/>
      </w:pPr>
      <w:r>
        <w:rPr>
          <w:rFonts w:ascii="Arial" w:cs="Arial" w:eastAsia="Arial" w:hAnsi="Arial"/>
          <w:sz w:val="22"/>
          <w:szCs w:val="22"/>
        </w:rPr>
        <w:t xml:space="preserve">Positive residual returns at T+1 and T+2 confirm the signal has predictive power in recent data.</w:t>
      </w:r>
    </w:p>
    <w:p>
      <w:pPr>
        <w:pStyle w:val="ListParagraph"/>
        <w:numPr>
          <w:ilvl w:val="0"/>
          <w:numId w:val="2"/>
        </w:numPr>
        <w:spacing w:after="40" w:before="40"/>
      </w:pPr>
      <w:r>
        <w:rPr>
          <w:rFonts w:ascii="Arial" w:cs="Arial" w:eastAsia="Arial" w:hAnsi="Arial"/>
          <w:sz w:val="22"/>
          <w:szCs w:val="22"/>
        </w:rPr>
        <w:t xml:space="preserve">If raw returns are positive but residual returns are flat, the gain is explained by factor co-movement, not mispricing.</w:t>
      </w:r>
    </w:p>
    <w:p>
      <w:pPr>
        <w:pStyle w:val="ListParagraph"/>
        <w:numPr>
          <w:ilvl w:val="0"/>
          <w:numId w:val="2"/>
        </w:numPr>
        <w:spacing w:after="40" w:before="40"/>
      </w:pPr>
      <w:r>
        <w:rPr>
          <w:rFonts w:ascii="Arial" w:cs="Arial" w:eastAsia="Arial" w:hAnsi="Arial"/>
          <w:sz w:val="22"/>
          <w:szCs w:val="22"/>
        </w:rPr>
        <w:t xml:space="preserve">If both are flat, check regime health — the model may not be translating to current market dynamics.</w:t>
      </w:r>
    </w:p>
    <w:p>
      <w:pPr>
        <w:pStyle w:val="ListParagraph"/>
        <w:numPr>
          <w:ilvl w:val="0"/>
          <w:numId w:val="2"/>
        </w:numPr>
        <w:spacing w:after="40" w:before="40"/>
      </w:pPr>
      <w:r>
        <w:rPr>
          <w:rFonts w:ascii="Arial" w:cs="Arial" w:eastAsia="Arial" w:hAnsi="Arial"/>
          <w:sz w:val="22"/>
          <w:szCs w:val="22"/>
        </w:rPr>
        <w:t xml:space="preserve">High residual vol (e.g. OXY at 55.9%) means noisier backtest results — fewer reliable entries.</w:t>
      </w:r>
    </w:p>
    <w:p>
      <w:r>
        <w:br w:type="page"/>
      </w:r>
    </w:p>
    <w:p>
      <w:pPr>
        <w:pStyle w:val="Heading1"/>
        <w:spacing w:after="120" w:before="360"/>
      </w:pPr>
      <w:r>
        <w:rPr>
          <w:rFonts w:ascii="Arial" w:cs="Arial" w:eastAsia="Arial" w:hAnsi="Arial"/>
          <w:b/>
          <w:bCs/>
          <w:color w:val="1F4E79"/>
          <w:sz w:val="36"/>
          <w:szCs w:val="36"/>
        </w:rPr>
        <w:t xml:space="preserve">5  Utilities</w:t>
      </w:r>
    </w:p>
    <w:p>
      <w:pPr>
        <w:spacing w:after="60" w:before="60"/>
      </w:pPr>
      <w:r>
        <w:rPr>
          <w:rFonts w:ascii="Arial" w:cs="Arial" w:eastAsia="Arial" w:hAnsi="Arial"/>
          <w:sz w:val="22"/>
          <w:szCs w:val="22"/>
        </w:rPr>
        <w:t xml:space="preserve">All utilities live in utils\ and operate on data produced by the core CLI commands.</w:t>
      </w:r>
    </w:p>
    <w:p>
      <w:pPr>
        <w:spacing w:after="0" w:before="0"/>
      </w:pPr>
      <w:r>
        <w:t xml:space="preserve"/>
      </w:r>
    </w:p>
    <w:p>
      <w:pPr>
        <w:pStyle w:val="Heading2"/>
        <w:spacing w:after="80" w:before="240"/>
      </w:pPr>
      <w:r>
        <w:rPr>
          <w:rFonts w:ascii="Arial" w:cs="Arial" w:eastAsia="Arial" w:hAnsi="Arial"/>
          <w:b/>
          <w:bCs/>
          <w:color w:val="2E75B6"/>
          <w:sz w:val="28"/>
          <w:szCs w:val="28"/>
        </w:rPr>
        <w:t xml:space="preserve">5.1  daily_scanner.py</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python utils\daily_scanner.py</w:t>
      </w:r>
    </w:p>
    <w:p>
      <w:pPr>
        <w:spacing w:after="60" w:before="60"/>
      </w:pPr>
      <w:r>
        <w:rPr>
          <w:rFonts w:ascii="Arial" w:cs="Arial" w:eastAsia="Arial" w:hAnsi="Arial"/>
          <w:sz w:val="22"/>
          <w:szCs w:val="22"/>
        </w:rPr>
        <w:t xml:space="preserve">Scores the full universe using the sticky regime and saves output to data\live_alpha_us.csv (or global). Honours the sticky regime — loads the same model as shockarb score.</w:t>
      </w:r>
    </w:p>
    <w:p>
      <w:pPr>
        <w:spacing w:after="0" w:before="0"/>
      </w:pPr>
      <w:r>
        <w:t xml:space="preserve"/>
      </w:r>
    </w:p>
    <w:p>
      <w:pPr>
        <w:pStyle w:val="Heading2"/>
        <w:spacing w:after="80" w:before="240"/>
      </w:pPr>
      <w:r>
        <w:rPr>
          <w:rFonts w:ascii="Arial" w:cs="Arial" w:eastAsia="Arial" w:hAnsi="Arial"/>
          <w:b/>
          <w:bCs/>
          <w:color w:val="2E75B6"/>
          <w:sz w:val="28"/>
          <w:szCs w:val="28"/>
        </w:rPr>
        <w:t xml:space="preserve">5.2  news_scanner.py</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python utils\news_scanner.py --top 8</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python utils\news_scanner.py --top 5 --min-r-squared 0.50</w:t>
      </w:r>
    </w:p>
    <w:p>
      <w:pPr>
        <w:spacing w:after="60" w:before="60"/>
      </w:pPr>
      <w:r>
        <w:rPr>
          <w:rFonts w:ascii="Arial" w:cs="Arial" w:eastAsia="Arial" w:hAnsi="Arial"/>
          <w:sz w:val="22"/>
          <w:szCs w:val="22"/>
        </w:rPr>
        <w:t xml:space="preserve">Fetches recent headlines for the top N signals. Appends a fundamentals table (Fwd P/E, TTM EPS, Next Earnings, Ex-Div, Analyst Target).</w:t>
      </w:r>
    </w:p>
    <w:p>
      <w:pPr>
        <w:spacing w:after="0" w:before="0"/>
      </w:pPr>
      <w:r>
        <w:t xml:space="preserve"/>
      </w:r>
    </w:p>
    <w:p>
      <w:pPr>
        <w:pStyle w:val="Heading2"/>
        <w:spacing w:after="80" w:before="240"/>
      </w:pPr>
      <w:r>
        <w:rPr>
          <w:rFonts w:ascii="Arial" w:cs="Arial" w:eastAsia="Arial" w:hAnsi="Arial"/>
          <w:b/>
          <w:bCs/>
          <w:color w:val="2E75B6"/>
          <w:sz w:val="28"/>
          <w:szCs w:val="28"/>
        </w:rPr>
        <w:t xml:space="preserve">5.3  portfolio_sizer.py</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python utils\portfolio_sizer.py --capital 100000 --top 5</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python utils\portfolio_sizer.py --capital 50000 --top 3 --exclude TXN AAPL</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python utils\portfolio_sizer.py --capital 100000 --top 10 --out data\ticket.csv</w:t>
      </w:r>
    </w:p>
    <w:p>
      <w:pPr>
        <w:spacing w:after="60" w:before="60"/>
      </w:pPr>
      <w:r>
        <w:rPr>
          <w:rFonts w:ascii="Arial" w:cs="Arial" w:eastAsia="Arial" w:hAnsi="Arial"/>
          <w:sz w:val="22"/>
          <w:szCs w:val="22"/>
        </w:rPr>
        <w:t xml:space="preserve">Reads the latest score CSV, applies conviction weighting (proportional to confidence_delta), and outputs a position-sizing table.</w:t>
      </w:r>
    </w:p>
    <w:p>
      <w:pPr>
        <w:spacing w:after="0" w:before="0"/>
      </w:pPr>
      <w:r>
        <w:t xml:space="preserve"/>
      </w:r>
    </w:p>
    <w:p>
      <w:pPr>
        <w:pStyle w:val="Heading2"/>
        <w:spacing w:after="80" w:before="240"/>
      </w:pPr>
      <w:r>
        <w:rPr>
          <w:rFonts w:ascii="Arial" w:cs="Arial" w:eastAsia="Arial" w:hAnsi="Arial"/>
          <w:b/>
          <w:bCs/>
          <w:color w:val="2E75B6"/>
          <w:sz w:val="28"/>
          <w:szCs w:val="28"/>
        </w:rPr>
        <w:t xml:space="preserve">5.4  value_score_viz.py</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python utils\value_score_viz.py --regime ukraine_shock --out data\viz</w:t>
      </w:r>
    </w:p>
    <w:p>
      <w:pPr>
        <w:spacing w:after="60" w:before="60"/>
      </w:pPr>
      <w:r>
        <w:rPr>
          <w:rFonts w:ascii="Arial" w:cs="Arial" w:eastAsia="Arial" w:hAnsi="Arial"/>
          <w:sz w:val="22"/>
          <w:szCs w:val="22"/>
        </w:rPr>
        <w:t xml:space="preserve">Three-figure visualisation suite overlaying ShockArb signals on a Morningstar value screener. Exports value_combined.csv with frontier distance and membership flags.</w:t>
      </w:r>
    </w:p>
    <w:p>
      <w:pPr>
        <w:spacing w:after="0" w:before="0"/>
      </w:pPr>
      <w:r>
        <w:t xml:space="preserve"/>
      </w:r>
    </w:p>
    <w:p>
      <w:pPr>
        <w:pStyle w:val="Heading2"/>
        <w:spacing w:after="80" w:before="240"/>
      </w:pPr>
      <w:r>
        <w:rPr>
          <w:rFonts w:ascii="Arial" w:cs="Arial" w:eastAsia="Arial" w:hAnsi="Arial"/>
          <w:b/>
          <w:bCs/>
          <w:color w:val="2E75B6"/>
          <w:sz w:val="28"/>
          <w:szCs w:val="28"/>
        </w:rPr>
        <w:t xml:space="preserve">5.5  data_inventory.py</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python utils\data_inventory.py</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python utils\data_inventory.py --gaps-only</w:t>
      </w:r>
    </w:p>
    <w:p>
      <w:r>
        <w:br w:type="page"/>
      </w:r>
    </w:p>
    <w:p>
      <w:pPr>
        <w:pStyle w:val="Heading1"/>
        <w:spacing w:after="120" w:before="360"/>
      </w:pPr>
      <w:r>
        <w:rPr>
          <w:rFonts w:ascii="Arial" w:cs="Arial" w:eastAsia="Arial" w:hAnsi="Arial"/>
          <w:b/>
          <w:bCs/>
          <w:color w:val="1F4E79"/>
          <w:sz w:val="36"/>
          <w:szCs w:val="36"/>
        </w:rPr>
        <w:t xml:space="preserve">6  Data Management &amp; Caching</w:t>
      </w:r>
    </w:p>
    <w:p>
      <w:pPr>
        <w:spacing w:after="60" w:before="60"/>
      </w:pPr>
      <w:r>
        <w:rPr>
          <w:rFonts w:ascii="Arial" w:cs="Arial" w:eastAsia="Arial" w:hAnsi="Arial"/>
          <w:sz w:val="22"/>
          <w:szCs w:val="22"/>
        </w:rPr>
        <w:t xml:space="preserve">ShockArb uses a parquet-backed data store (the datamgr layer) to avoid redundant downloads.</w:t>
      </w:r>
    </w:p>
    <w:p>
      <w:pPr>
        <w:spacing w:after="0" w:before="0"/>
      </w:pPr>
      <w:r>
        <w:t xml:space="preserve"/>
      </w:r>
    </w:p>
    <w:p>
      <w:pPr>
        <w:pStyle w:val="Heading2"/>
        <w:spacing w:after="80" w:before="240"/>
      </w:pPr>
      <w:r>
        <w:rPr>
          <w:rFonts w:ascii="Arial" w:cs="Arial" w:eastAsia="Arial" w:hAnsi="Arial"/>
          <w:b/>
          <w:bCs/>
          <w:color w:val="2E75B6"/>
          <w:sz w:val="28"/>
          <w:szCs w:val="28"/>
        </w:rPr>
        <w:t xml:space="preserve">6.1  Data directory layout</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data\</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ukraine_shock_us_20260528_143030.json   # saved model</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.shockarb_regime                        # sticky regime (contains: ukraine_shock)</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ticker_reference_cache.json             # company name / industry cache</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live_alpha_us.csv                       # latest score output (66 rows, 2026-05-30)</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us_etf_basis.csv                        # ETF factor loadings (exported)</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us_stock_loadings.csv                   # stock R² + loadings (exported)</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cache\                                 # parquet OHLCV store</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us.live_etf\</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us.live_stock\</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recent_scores\                         # score history archive</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2026-05-30.parquet                    # 66 rows</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tapes\                                 # raw OHLCV snapshots (--save-tape)</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viz\                                   # value_score_viz.py output</w:t>
      </w:r>
    </w:p>
    <w:p>
      <w:pPr>
        <w:spacing w:after="0" w:before="0"/>
      </w:pPr>
      <w:r>
        <w:t xml:space="preserve"/>
      </w:r>
    </w:p>
    <w:p>
      <w:pPr>
        <w:pStyle w:val="Heading2"/>
        <w:spacing w:after="80" w:before="240"/>
      </w:pPr>
      <w:r>
        <w:rPr>
          <w:rFonts w:ascii="Arial" w:cs="Arial" w:eastAsia="Arial" w:hAnsi="Arial"/>
          <w:b/>
          <w:bCs/>
          <w:color w:val="2E75B6"/>
          <w:sz w:val="28"/>
          <w:szCs w:val="28"/>
        </w:rPr>
        <w:t xml:space="preserve">6.2  Cache hit vs. download logic</w:t>
      </w:r>
    </w:p>
    <w:p>
      <w:pPr>
        <w:pStyle w:val="ListParagraph"/>
        <w:numPr>
          <w:ilvl w:val="0"/>
          <w:numId w:val="2"/>
        </w:numPr>
        <w:spacing w:after="40" w:before="40"/>
      </w:pPr>
      <w:r>
        <w:rPr>
          <w:rFonts w:ascii="Arial" w:cs="Arial" w:eastAsia="Arial" w:hAnsi="Arial"/>
          <w:sz w:val="22"/>
          <w:szCs w:val="22"/>
        </w:rPr>
        <w:t xml:space="preserve">Full cache hit: tickers and date range fully covered. No download. Log: [Coordinator] Full cache hit — skipping fetch.</w:t>
      </w:r>
    </w:p>
    <w:p>
      <w:pPr>
        <w:pStyle w:val="ListParagraph"/>
        <w:numPr>
          <w:ilvl w:val="0"/>
          <w:numId w:val="2"/>
        </w:numPr>
        <w:spacing w:after="40" w:before="40"/>
      </w:pPr>
      <w:r>
        <w:rPr>
          <w:rFonts w:ascii="Arial" w:cs="Arial" w:eastAsia="Arial" w:hAnsi="Arial"/>
          <w:sz w:val="22"/>
          <w:szCs w:val="22"/>
        </w:rPr>
        <w:t xml:space="preserve">Tail fetch: cache covers start but not end. Only the gap is downloaded.</w:t>
      </w:r>
    </w:p>
    <w:p>
      <w:pPr>
        <w:pStyle w:val="ListParagraph"/>
        <w:numPr>
          <w:ilvl w:val="0"/>
          <w:numId w:val="2"/>
        </w:numPr>
        <w:spacing w:after="40" w:before="40"/>
      </w:pPr>
      <w:r>
        <w:rPr>
          <w:rFonts w:ascii="Arial" w:cs="Arial" w:eastAsia="Arial" w:hAnsi="Arial"/>
          <w:sz w:val="22"/>
          <w:szCs w:val="22"/>
        </w:rPr>
        <w:t xml:space="preserve">Full download: no cache. Downloads full window.</w:t>
      </w:r>
    </w:p>
    <w:p>
      <w:pPr>
        <w:spacing w:after="0" w:before="0"/>
      </w:pPr>
      <w:r>
        <w:t xml:space="preserve"/>
      </w:r>
    </w:p>
    <w:p>
      <w:pPr>
        <w:shd w:fill="DEEAF1" w:val="clear"/>
        <w:spacing w:after="120" w:before="120"/>
        <w:ind w:left="240" w:right="240"/>
      </w:pPr>
      <w:r>
        <w:rPr>
          <w:rFonts w:ascii="Arial" w:cs="Arial" w:eastAsia="Arial" w:hAnsi="Arial"/>
          <w:sz w:val="22"/>
          <w:szCs w:val="22"/>
        </w:rPr>
        <w:t xml:space="preserve">ℹ  Build downloads calibration data once. The only download on each daily score run is today's new closing bar.</w:t>
      </w:r>
    </w:p>
    <w:p>
      <w:pPr>
        <w:spacing w:after="0" w:before="0"/>
      </w:pPr>
      <w:r>
        <w:t xml:space="preserve"/>
      </w:r>
    </w:p>
    <w:p>
      <w:pPr>
        <w:pStyle w:val="Heading2"/>
        <w:spacing w:after="80" w:before="240"/>
      </w:pPr>
      <w:r>
        <w:rPr>
          <w:rFonts w:ascii="Arial" w:cs="Arial" w:eastAsia="Arial" w:hAnsi="Arial"/>
          <w:b/>
          <w:bCs/>
          <w:color w:val="2E75B6"/>
          <w:sz w:val="28"/>
          <w:szCs w:val="28"/>
        </w:rPr>
        <w:t xml:space="preserve">6.3  Log output examples</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Cache hit — nothing downloaded:</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INFO | [Coordinator] Full cache hit — skipping fetch</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w:r>
    </w:p>
    <w:p>
      <w:pPr>
        <w:pBdr>
          <w:left w:val="single" w:color="999999" w:sz="6" w:space="8"/>
        </w:pBdr>
        <w:shd w:fill="F4F4F4" w:val="clear"/>
        <w:spacing w:after="0" w:before="0"/>
        <w:ind w:left="240"/>
      </w:pPr>
      <w:r>
        <w:rPr>
          <w:rFonts w:ascii="Courier New" w:cs="Courier New" w:eastAsia="Courier New" w:hAnsi="Courier New"/>
          <w:sz w:val="20"/>
          <w:szCs w:val="20"/>
        </w:rPr>
        <w:t xml:space="preserve"># Tail fetch — only new data downloaded:</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INFO | [Coordinator] Fetching 85 ticker(s) 2026-05-29 -&gt; 2026-05-30 (daily)</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INFO | [Coordinator] Slicing: 'us.live_etf' 19 tickers (daily)</w:t>
      </w:r>
    </w:p>
    <w:p>
      <w:r>
        <w:br w:type="page"/>
      </w:r>
    </w:p>
    <w:p>
      <w:pPr>
        <w:pStyle w:val="Heading1"/>
        <w:spacing w:after="120" w:before="360"/>
      </w:pPr>
      <w:r>
        <w:rPr>
          <w:rFonts w:ascii="Arial" w:cs="Arial" w:eastAsia="Arial" w:hAnsi="Arial"/>
          <w:b/>
          <w:bCs/>
          <w:color w:val="1F4E79"/>
          <w:sz w:val="36"/>
          <w:szCs w:val="36"/>
        </w:rPr>
        <w:t xml:space="preserve">7  End-to-End Workflows</w:t>
      </w:r>
    </w:p>
    <w:p>
      <w:pPr>
        <w:spacing w:after="0" w:before="0"/>
      </w:pPr>
      <w:r>
        <w:t xml:space="preserve"/>
      </w:r>
    </w:p>
    <w:p>
      <w:pPr>
        <w:pStyle w:val="Heading2"/>
        <w:spacing w:after="80" w:before="240"/>
      </w:pPr>
      <w:r>
        <w:rPr>
          <w:rFonts w:ascii="Arial" w:cs="Arial" w:eastAsia="Arial" w:hAnsi="Arial"/>
          <w:b/>
          <w:bCs/>
          <w:color w:val="2E75B6"/>
          <w:sz w:val="28"/>
          <w:szCs w:val="28"/>
        </w:rPr>
        <w:t xml:space="preserve">7.1  First-time setup</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shockarb set-regime ukraine_shock</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shockarb build                    # ~30 seconds, downloads calibration data</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shockarb show                     # verify: cumulative variance &gt;= 70%</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shockarb score                    # first live score</w:t>
      </w:r>
    </w:p>
    <w:p>
      <w:pPr>
        <w:spacing w:after="0" w:before="0"/>
      </w:pPr>
      <w:r>
        <w:t xml:space="preserve"/>
      </w:r>
    </w:p>
    <w:p>
      <w:pPr>
        <w:pStyle w:val="Heading2"/>
        <w:spacing w:after="80" w:before="240"/>
      </w:pPr>
      <w:r>
        <w:rPr>
          <w:rFonts w:ascii="Arial" w:cs="Arial" w:eastAsia="Arial" w:hAnsi="Arial"/>
          <w:b/>
          <w:bCs/>
          <w:color w:val="2E75B6"/>
          <w:sz w:val="28"/>
          <w:szCs w:val="28"/>
        </w:rPr>
        <w:t xml:space="preserve">7.2  Recommended daily after-close routine</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Score + archive (single command does both)</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shockarb score --save-recent --out data\live_alpha_us.csv</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w:r>
    </w:p>
    <w:p>
      <w:pPr>
        <w:pBdr>
          <w:left w:val="single" w:color="999999" w:sz="6" w:space="8"/>
        </w:pBdr>
        <w:shd w:fill="F4F4F4" w:val="clear"/>
        <w:spacing w:after="0" w:before="0"/>
        <w:ind w:left="240"/>
      </w:pPr>
      <w:r>
        <w:rPr>
          <w:rFonts w:ascii="Courier New" w:cs="Courier New" w:eastAsia="Courier New" w:hAnsi="Courier New"/>
          <w:sz w:val="20"/>
          <w:szCs w:val="20"/>
        </w:rPr>
        <w:t xml:space="preserve"># Check regime health (meaningful after 5+ days)</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shockarb regime-health</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w:r>
    </w:p>
    <w:p>
      <w:pPr>
        <w:pBdr>
          <w:left w:val="single" w:color="999999" w:sz="6" w:space="8"/>
        </w:pBdr>
        <w:shd w:fill="F4F4F4" w:val="clear"/>
        <w:spacing w:after="0" w:before="0"/>
        <w:ind w:left="240"/>
      </w:pPr>
      <w:r>
        <w:rPr>
          <w:rFonts w:ascii="Courier New" w:cs="Courier New" w:eastAsia="Courier New" w:hAnsi="Courier New"/>
          <w:sz w:val="20"/>
          <w:szCs w:val="20"/>
        </w:rPr>
        <w:t xml:space="preserve"># Top signals with news</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python utils\news_scanner.py --top 5</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w:r>
    </w:p>
    <w:p>
      <w:pPr>
        <w:pBdr>
          <w:left w:val="single" w:color="999999" w:sz="6" w:space="8"/>
        </w:pBdr>
        <w:shd w:fill="F4F4F4" w:val="clear"/>
        <w:spacing w:after="0" w:before="0"/>
        <w:ind w:left="240"/>
      </w:pPr>
      <w:r>
        <w:rPr>
          <w:rFonts w:ascii="Courier New" w:cs="Courier New" w:eastAsia="Courier New" w:hAnsi="Courier New"/>
          <w:sz w:val="20"/>
          <w:szCs w:val="20"/>
        </w:rPr>
        <w:t xml:space="preserve"># Trade ticket</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python utils\portfolio_sizer.py --capital 100000 --top 5</w:t>
      </w:r>
    </w:p>
    <w:p>
      <w:pPr>
        <w:shd w:fill="DEEAF1" w:val="clear"/>
        <w:spacing w:after="120" w:before="120"/>
        <w:ind w:left="240" w:right="240"/>
      </w:pPr>
      <w:r>
        <w:rPr>
          <w:rFonts w:ascii="Arial" w:cs="Arial" w:eastAsia="Arial" w:hAnsi="Arial"/>
          <w:sz w:val="22"/>
          <w:szCs w:val="22"/>
        </w:rPr>
        <w:t xml:space="preserve">ℹ  Run after 4 pm ET. If prices look stale, wait 10–15 minutes and retry.</w:t>
      </w:r>
    </w:p>
    <w:p>
      <w:pPr>
        <w:spacing w:after="0" w:before="0"/>
      </w:pPr>
      <w:r>
        <w:t xml:space="preserve"/>
      </w:r>
    </w:p>
    <w:p>
      <w:pPr>
        <w:pStyle w:val="Heading2"/>
        <w:spacing w:after="80" w:before="240"/>
      </w:pPr>
      <w:r>
        <w:rPr>
          <w:rFonts w:ascii="Arial" w:cs="Arial" w:eastAsia="Arial" w:hAnsi="Arial"/>
          <w:b/>
          <w:bCs/>
          <w:color w:val="2E75B6"/>
          <w:sz w:val="28"/>
          <w:szCs w:val="28"/>
        </w:rPr>
        <w:t xml:space="preserve">7.3  Intraday mode</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shockarb score --from-open   # uses today's open as denominator</w:t>
      </w:r>
    </w:p>
    <w:p>
      <w:pPr>
        <w:spacing w:after="60" w:before="60"/>
      </w:pPr>
      <w:r>
        <w:rPr>
          <w:rFonts w:ascii="Arial" w:cs="Arial" w:eastAsia="Arial" w:hAnsi="Arial"/>
          <w:sz w:val="22"/>
          <w:szCs w:val="22"/>
        </w:rPr>
        <w:t xml:space="preserve">Intraday signals tend to be noisier. Treat Conf.Δ &gt; 0.5% as the minimum actionable threshold in intraday mode.</w:t>
      </w:r>
    </w:p>
    <w:p>
      <w:pPr>
        <w:spacing w:after="0" w:before="0"/>
      </w:pPr>
      <w:r>
        <w:t xml:space="preserve"/>
      </w:r>
    </w:p>
    <w:p>
      <w:pPr>
        <w:pStyle w:val="Heading2"/>
        <w:spacing w:after="80" w:before="240"/>
      </w:pPr>
      <w:r>
        <w:rPr>
          <w:rFonts w:ascii="Arial" w:cs="Arial" w:eastAsia="Arial" w:hAnsi="Arial"/>
          <w:b/>
          <w:bCs/>
          <w:color w:val="2E75B6"/>
          <w:sz w:val="28"/>
          <w:szCs w:val="28"/>
        </w:rPr>
        <w:t xml:space="preserve">7.4  Historical research</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shockarb score --date 2022-02-24   # day Russia invaded</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shockarb score --date 2022-03-08   # market bottom for this shock</w:t>
      </w:r>
    </w:p>
    <w:p>
      <w:pPr>
        <w:spacing w:after="0" w:before="0"/>
      </w:pPr>
      <w:r>
        <w:t xml:space="preserve"/>
      </w:r>
    </w:p>
    <w:p>
      <w:pPr>
        <w:pStyle w:val="Heading2"/>
        <w:spacing w:after="80" w:before="240"/>
      </w:pPr>
      <w:r>
        <w:rPr>
          <w:rFonts w:ascii="Arial" w:cs="Arial" w:eastAsia="Arial" w:hAnsi="Arial"/>
          <w:b/>
          <w:bCs/>
          <w:color w:val="2E75B6"/>
          <w:sz w:val="28"/>
          <w:szCs w:val="28"/>
        </w:rPr>
        <w:t xml:space="preserve">7.5  Adding a new stock</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shockarb add-asset NVDA            # preview R² before committing</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shockarb add-asset NVDA --save     # persist if R² &gt;= 0.40</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shockarb export                    # refresh exported CSVs</w:t>
      </w:r>
    </w:p>
    <w:p>
      <w:pPr>
        <w:spacing w:after="0" w:before="0"/>
      </w:pPr>
      <w:r>
        <w:t xml:space="preserve"/>
      </w:r>
    </w:p>
    <w:p>
      <w:pPr>
        <w:pStyle w:val="Heading2"/>
        <w:spacing w:after="80" w:before="240"/>
      </w:pPr>
      <w:r>
        <w:rPr>
          <w:rFonts w:ascii="Arial" w:cs="Arial" w:eastAsia="Arial" w:hAnsi="Arial"/>
          <w:b/>
          <w:bCs/>
          <w:color w:val="2E75B6"/>
          <w:sz w:val="28"/>
          <w:szCs w:val="28"/>
        </w:rPr>
        <w:t xml:space="preserve">7.6  Validation backtest</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shockarb backtest \</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--model data\ukraine_shock_us_20260528_143030.json \</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--trailing-window 120 \</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--return-type residual \</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    --holding-periods 1 2 3 5</w:t>
      </w:r>
    </w:p>
    <w:p>
      <w:r>
        <w:br w:type="page"/>
      </w:r>
    </w:p>
    <w:p>
      <w:pPr>
        <w:pStyle w:val="Heading1"/>
        <w:spacing w:after="120" w:before="360"/>
      </w:pPr>
      <w:r>
        <w:rPr>
          <w:rFonts w:ascii="Arial" w:cs="Arial" w:eastAsia="Arial" w:hAnsi="Arial"/>
          <w:b/>
          <w:bCs/>
          <w:color w:val="1F4E79"/>
          <w:sz w:val="36"/>
          <w:szCs w:val="36"/>
        </w:rPr>
        <w:t xml:space="preserve">8  Troubleshooting</w:t>
      </w:r>
    </w:p>
    <w:p>
      <w:pPr>
        <w:spacing w:after="0" w:before="0"/>
      </w:pPr>
      <w:r>
        <w:t xml:space="preserve"/>
      </w:r>
    </w:p>
    <w:p>
      <w:pPr>
        <w:pStyle w:val="Heading2"/>
        <w:spacing w:after="80" w:before="240"/>
      </w:pPr>
      <w:r>
        <w:rPr>
          <w:rFonts w:ascii="Arial" w:cs="Arial" w:eastAsia="Arial" w:hAnsi="Arial"/>
          <w:b/>
          <w:bCs/>
          <w:color w:val="2E75B6"/>
          <w:sz w:val="28"/>
          <w:szCs w:val="28"/>
        </w:rPr>
        <w:t xml:space="preserve">8.1  Common errors and fixes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c>
          <w:tcPr>
            <w:tcW w:type="dxa" w:w="320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center"/>
          </w:tcPr>
          <w:p>
            <w:r>
              <w:rPr>
                <w:rFonts w:ascii="Arial" w:cs="Arial" w:eastAsia="Arial" w:hAnsi="Arial"/>
                <w:b/>
                <w:bCs/>
                <w:color w:val="FFFFFF"/>
                <w:sz w:val="22"/>
                <w:szCs w:val="22"/>
              </w:rPr>
              <w:t xml:space="preserve">Error / Symptom</w:t>
            </w:r>
          </w:p>
        </w:tc>
        <w:tc>
          <w:tcPr>
            <w:tcW w:type="dxa" w:w="688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center"/>
          </w:tcPr>
          <w:p>
            <w:r>
              <w:rPr>
                <w:rFonts w:ascii="Arial" w:cs="Arial" w:eastAsia="Arial" w:hAnsi="Arial"/>
                <w:b/>
                <w:bCs/>
                <w:color w:val="FFFFFF"/>
                <w:sz w:val="22"/>
                <w:szCs w:val="22"/>
              </w:rPr>
              <w:t xml:space="preserve">Fix</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No regime specified</w:t>
            </w:r>
          </w:p>
        </w:tc>
        <w:tc>
          <w:tcPr>
            <w:tcW w:type="dxa" w:w="688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Run: shockarb set-regime ukraine_shock</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No model found for regime</w:t>
            </w:r>
          </w:p>
        </w:tc>
        <w:tc>
          <w:tcPr>
            <w:tcW w:type="dxa" w:w="6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Run: shockarb build</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ModuleNotFoundError: loguru</w:t>
            </w:r>
          </w:p>
        </w:tc>
        <w:tc>
          <w:tcPr>
            <w:tcW w:type="dxa" w:w="688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conda activate shockarb (or equivalent venv)</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Score shows 0 signals</w:t>
            </w:r>
          </w:p>
        </w:tc>
        <w:tc>
          <w:tcPr>
            <w:tcW w:type="dxa" w:w="6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shockarb score --min-confidence 0.0 --min-r-squared 0.20</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regime-health shows 'accumulating'</w:t>
            </w:r>
          </w:p>
        </w:tc>
        <w:tc>
          <w:tcPr>
            <w:tcW w:type="dxa" w:w="688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Less than 5 data-days in archive. Run shockarb score --save-recent each trading day until 5 accumulate.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Prices look stale</w:t>
            </w:r>
          </w:p>
        </w:tc>
        <w:tc>
          <w:tcPr>
            <w:tcW w:type="dxa" w:w="6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Wait 15 minutes after 4 pm ET and retry.</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Cumulative variance &lt; 70%</w:t>
            </w:r>
          </w:p>
        </w:tc>
        <w:tc>
          <w:tcPr>
            <w:tcW w:type="dxa" w:w="688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Run shockarb show --verbose and check for ETF data gaps in the calibration window.</w:t>
            </w:r>
          </w:p>
        </w:tc>
      </w:tr>
    </w:tbl>
    <w:p>
      <w:pPr>
        <w:spacing w:after="0" w:before="0"/>
      </w:pPr>
      <w:r>
        <w:t xml:space="preserve"/>
      </w:r>
    </w:p>
    <w:p>
      <w:pPr>
        <w:pStyle w:val="Heading2"/>
        <w:spacing w:after="80" w:before="240"/>
      </w:pPr>
      <w:r>
        <w:rPr>
          <w:rFonts w:ascii="Arial" w:cs="Arial" w:eastAsia="Arial" w:hAnsi="Arial"/>
          <w:b/>
          <w:bCs/>
          <w:color w:val="2E75B6"/>
          <w:sz w:val="28"/>
          <w:szCs w:val="28"/>
        </w:rPr>
        <w:t xml:space="preserve">8.2  Running tests</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pytest tests\ -q                          # all 383 tests</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pytest tests\test_cli.py::TestCmdScore -q # single class</w:t>
      </w:r>
    </w:p>
    <w:p>
      <w:pPr>
        <w:pBdr>
          <w:left w:val="single" w:color="999999" w:sz="6" w:space="8"/>
        </w:pBdr>
        <w:shd w:fill="F4F4F4" w:val="clear"/>
        <w:spacing w:after="0" w:before="0"/>
        <w:ind w:left="240"/>
      </w:pPr>
      <w:r>
        <w:rPr>
          <w:rFonts w:ascii="Courier New" w:cs="Courier New" w:eastAsia="Courier New" w:hAnsi="Courier New"/>
          <w:sz w:val="20"/>
          <w:szCs w:val="20"/>
        </w:rPr>
        <w:t xml:space="preserve">pytest tests\test_score_history.py -q     # archive tests only</w:t>
      </w:r>
    </w:p>
    <w:p>
      <w:pPr>
        <w:spacing w:after="60" w:before="60"/>
      </w:pPr>
      <w:r>
        <w:rPr>
          <w:rFonts w:ascii="Arial" w:cs="Arial" w:eastAsia="Arial" w:hAnsi="Arial"/>
          <w:sz w:val="22"/>
          <w:szCs w:val="22"/>
        </w:rPr>
        <w:t xml:space="preserve">All 383 tests should pass. The test suite mocks network calls and runs without internet access.</w:t>
      </w:r>
    </w:p>
    <w:p>
      <w:r>
        <w:br w:type="page"/>
      </w:r>
    </w:p>
    <w:p>
      <w:pPr>
        <w:pStyle w:val="Heading1"/>
        <w:spacing w:after="120" w:before="360"/>
      </w:pPr>
      <w:r>
        <w:rPr>
          <w:rFonts w:ascii="Arial" w:cs="Arial" w:eastAsia="Arial" w:hAnsi="Arial"/>
          <w:b/>
          <w:bCs/>
          <w:color w:val="1F4E79"/>
          <w:sz w:val="36"/>
          <w:szCs w:val="36"/>
        </w:rPr>
        <w:t xml:space="preserve">9  Glossary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center"/>
          </w:tcPr>
          <w:p>
            <w:r>
              <w:rPr>
                <w:rFonts w:ascii="Arial" w:cs="Arial" w:eastAsia="Arial" w:hAnsi="Arial"/>
                <w:b/>
                <w:bCs/>
                <w:color w:val="FFFFFF"/>
                <w:sz w:val="22"/>
                <w:szCs w:val="22"/>
              </w:rPr>
              <w:t xml:space="preserve">Term</w:t>
            </w:r>
          </w:p>
        </w:tc>
        <w:tc>
          <w:tcPr>
            <w:tcW w:type="dxa" w:w="768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center"/>
          </w:tcPr>
          <w:p>
            <w:r>
              <w:rPr>
                <w:rFonts w:ascii="Arial" w:cs="Arial" w:eastAsia="Arial" w:hAnsi="Arial"/>
                <w:b/>
                <w:bCs/>
                <w:color w:val="FFFFFF"/>
                <w:sz w:val="22"/>
                <w:szCs w:val="22"/>
              </w:rPr>
              <w:t xml:space="preserve">Definition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actual_return</w:t>
            </w:r>
          </w:p>
        </w:tc>
        <w:tc>
          <w:tcPr>
            <w:tcW w:type="dxa" w:w="768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The stock's observed return for the scoring period. On 2026-05-30: TXN = -3.25%.</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add-asset</w:t>
            </w:r>
          </w:p>
        </w:tc>
        <w:tc>
          <w:tcPr>
            <w:tcW w:type="dxa" w:w="7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Projects a new stock onto the existing factor basis via OLS, without refitting. Used to add the 32 wide-moat stocks that extended ukraine_shock from 66 to 98.</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calibration window</w:t>
            </w:r>
          </w:p>
        </w:tc>
        <w:tc>
          <w:tcPr>
            <w:tcW w:type="dxa" w:w="768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The historical date range used to fit the factor model. For ukraine_shock: Feb 10 – Mar 31 2022 (34 trading days).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confidence_delta</w:t>
            </w:r>
          </w:p>
        </w:tc>
        <w:tc>
          <w:tcPr>
            <w:tcW w:type="dxa" w:w="7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delta_rel × R². Primary ranking signal. Rewards stocks with large deltas AND high model fit. TXN on 2026-05-30: +3.13% × 0.645 = +2.02%.</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cumulative variance</w:t>
            </w:r>
          </w:p>
        </w:tc>
        <w:tc>
          <w:tcPr>
            <w:tcW w:type="dxa" w:w="768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Fraction of total ETF return variance explained by the retained factors. ukraine_shock: 86.5% (Factor 1: 56.6%, Factor 2: 24.1%, Factor 3: 5.8%).</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delta_rel</w:t>
            </w:r>
          </w:p>
        </w:tc>
        <w:tc>
          <w:tcPr>
            <w:tcW w:type="dxa" w:w="7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expected_rel minus actual_return. Positive = stock fell more than factors justify = long signal.</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expected_rel</w:t>
            </w:r>
          </w:p>
        </w:tc>
        <w:tc>
          <w:tcPr>
            <w:tcW w:type="dxa" w:w="768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Factor-model predicted return relative to market. On 2026-05-30, TXN's expected_rel was -0.12% vs. its actual -3.25%.</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factor loadings</w:t>
            </w:r>
          </w:p>
        </w:tc>
        <w:tc>
          <w:tcPr>
            <w:tcW w:type="dxa" w:w="7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OLS coefficients (β) for each stock on each SVD factor. MSFT F1=+0.317 means MSFT moves 0.317% per 1% move in Factor 1.</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next_day_actual</w:t>
            </w:r>
          </w:p>
        </w:tc>
        <w:tc>
          <w:tcPr>
            <w:tcW w:type="dxa" w:w="768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Next trading day's actual return. Backfilled into the archive by the following day's score run. Enables Spearman alpha validation.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R²</w:t>
            </w:r>
          </w:p>
        </w:tc>
        <w:tc>
          <w:tcPr>
            <w:tcW w:type="dxa" w:w="7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Fraction of a stock's calibration-window variance explained by the factors. MSFT: 0.909 (excellent). WMT: 0.088 (discard — factors cannot explain it).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regime</w:t>
            </w:r>
          </w:p>
        </w:tc>
        <w:tc>
          <w:tcPr>
            <w:tcW w:type="dxa" w:w="768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Named historical shock window with its ETF/stock universe, dates, and metadata. Five regimes available.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regime health</w:t>
            </w:r>
          </w:p>
        </w:tc>
        <w:tc>
          <w:tcPr>
            <w:tcW w:type="dxa" w:w="7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Measure of how well the active regime explains live stock returns, based on the rolling score archive.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residual_vol</w:t>
            </w:r>
          </w:p>
        </w:tc>
        <w:tc>
          <w:tcPr>
            <w:tcW w:type="dxa" w:w="768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Annualised volatility of unexplained returns (√252 × σ of OLS residuals). OXY: 55.9% (very wide — use wider stops). TXN: 16.9% (narrow — tighter stops).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score archive</w:t>
            </w:r>
          </w:p>
        </w:tc>
        <w:tc>
          <w:tcPr>
            <w:tcW w:type="dxa" w:w="7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Rolling parquet store in data\recent_scores\. Currently holds 1 day (2026-05-30, 66 rows). Used by regime-health.</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SNR</w:t>
            </w:r>
          </w:p>
        </w:tc>
        <w:tc>
          <w:tcPr>
            <w:tcW w:type="dxa" w:w="768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Signal-to-noise ratio. R² / (1 − R²). SNR ≥ 2 = ACTIVE; 1–2 = DEGRADED; &lt; 1 = POOR.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sticky regime</w:t>
            </w:r>
          </w:p>
        </w:tc>
        <w:tc>
          <w:tcPr>
            <w:tcW w:type="dxa" w:w="7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The regime name stored in .shockarb_regime. All commands read it by default.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SVD</w:t>
            </w:r>
          </w:p>
        </w:tc>
        <w:tc>
          <w:tcPr>
            <w:tcW w:type="dxa" w:w="768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Singular Value Decomposition — matrix factorisation used to extract latent factors from ETF returns.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tail fetch</w:t>
            </w:r>
          </w:p>
        </w:tc>
        <w:tc>
          <w:tcPr>
            <w:tcW w:type="dxa" w:w="7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2"/>
                <w:szCs w:val="22"/>
              </w:rPr>
              <w:t xml:space="preserve">Download of only the gap between the last cached date and today.</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of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tabs>
        <w:tab w:val="right" w:pos="9026"/>
      </w:tabs>
    </w:pPr>
    <w:r>
      <w:rPr>
        <w:rFonts w:ascii="Arial" w:cs="Arial" w:eastAsia="Arial" w:hAnsi="Arial"/>
        <w:b/>
        <w:bCs/>
        <w:color w:val="2E75B6"/>
        <w:sz w:val="18"/>
        <w:szCs w:val="18"/>
      </w:rPr>
      <w:t xml:space="preserve">⚡ SHOCKARB User Manual</w:t>
    </w:r>
    <w:r>
      <w:rPr>
        <w:sz w:val="18"/>
        <w:szCs w:val="18"/>
      </w:rPr>
      <w:t xml:space="preserve">	</w:t>
    </w:r>
    <w:r>
      <w:rPr>
        <w:rFonts w:ascii="Arial" w:cs="Arial" w:eastAsia="Arial" w:hAnsi="Arial"/>
        <w:color w:val="888888"/>
        <w:sz w:val="18"/>
        <w:szCs w:val="18"/>
      </w:rPr>
      <w:t xml:space="preserve">May 2026  |  ukraine_shock  |  86.5% cumul. variance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80" w:before="240"/>
      <w:outlineLvl w:val="1"/>
    </w:pPr>
    <w:rPr>
      <w:rFonts w:ascii="Arial" w:cs="Arial" w:eastAsia="Arial" w:hAnsi="Arial"/>
      <w:b/>
      <w:bCs/>
      <w:color w:val="2E75B6"/>
      <w:sz w:val="28"/>
      <w:szCs w:val="28"/>
    </w:rPr>
  </w:style>
  <w:style w:type="paragraph" w:styleId="Heading3">
    <w:name w:val="Heading 3"/>
    <w:basedOn w:val="Normal"/>
    <w:next w:val="Normal"/>
    <w:qFormat/>
    <w:pPr>
      <w:spacing w:after="60" w:before="16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2026-05-31T21:34:21.259Z</dcterms:created>
  <dcterms:modified xsi:type="dcterms:W3CDTF">2026-05-31T21:34:21.259Z</dcterms:modified>
</cp:coreProperties>
</file>

<file path=docProps/custom.xml><?xml version="1.0" encoding="utf-8"?>
<Properties xmlns="http://schemas.openxmlformats.org/officeDocument/2006/custom-properties" xmlns:vt="http://schemas.openxmlformats.org/officeDocument/2006/docPropsVTypes"/>
</file>