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00"/>
        <w:jc w:val="center"/>
      </w:pPr>
      <w:r>
        <w:drawing>
          <wp:inline distT="0" distB="0" distL="0" distR="0">
            <wp:extent cx="1428750" cy="1428750"/>
            <wp:effectExtent t="0" r="0" b="0" l="0"/>
            <wp:docPr id="1" name="NLH logo" descr="New Learning Horizons logo" title="NL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428750"/>
                    </a:xfrm>
                    <a:prstGeom prst="rect">
                      <a:avLst/>
                    </a:prstGeom>
                  </pic:spPr>
                </pic:pic>
              </a:graphicData>
            </a:graphic>
          </wp:inline>
        </w:drawing>
      </w:r>
    </w:p>
    <w:p>
      <w:pPr>
        <w:spacing w:after="0" w:before="200"/>
        <w:jc w:val="center"/>
      </w:pPr>
      <w:r>
        <w:rPr>
          <w:b/>
          <w:bCs/>
          <w:color w:val="534AB7"/>
          <w:sz w:val="52"/>
          <w:szCs w:val="52"/>
        </w:rPr>
        <w:t xml:space="preserve">NEW LEARNING HORIZONS</w:t>
      </w:r>
    </w:p>
    <w:p>
      <w:pPr>
        <w:spacing w:after="60"/>
        <w:jc w:val="center"/>
      </w:pPr>
      <w:r>
        <w:rPr>
          <w:color w:val="5C5A54"/>
          <w:sz w:val="20"/>
          <w:szCs w:val="20"/>
        </w:rPr>
        <w:t xml:space="preserve">ISO 9001:2015 Certified  ·  Enriching Children’s Future since 2008</w:t>
      </w:r>
    </w:p>
    <w:p>
      <w:pPr>
        <w:spacing w:after="0" w:before="1200"/>
        <w:jc w:val="center"/>
      </w:pPr>
      <w:r>
        <w:rPr>
          <w:b/>
          <w:bCs/>
          <w:color w:val="1A1916"/>
          <w:sz w:val="40"/>
          <w:szCs w:val="40"/>
        </w:rPr>
        <w:t xml:space="preserve">Platform Operating Manual</w:t>
      </w:r>
    </w:p>
    <w:p>
      <w:pPr>
        <w:spacing w:before="120"/>
        <w:jc w:val="center"/>
      </w:pPr>
      <w:r>
        <w:rPr>
          <w:color w:val="534AB7"/>
          <w:sz w:val="24"/>
          <w:szCs w:val="24"/>
        </w:rPr>
        <w:t xml:space="preserve">For State Master, City &amp; Unit Franchisees</w:t>
      </w:r>
    </w:p>
    <w:p>
      <w:pPr>
        <w:spacing w:before="2000"/>
        <w:jc w:val="center"/>
      </w:pPr>
      <w:r>
        <w:rPr>
          <w:b/>
          <w:bCs/>
          <w:color w:val="534AB7"/>
          <w:sz w:val="22"/>
          <w:szCs w:val="22"/>
        </w:rPr>
        <w:t xml:space="preserve">nlh-platform.vercel.app</w:t>
      </w:r>
    </w:p>
    <w:p>
      <w:pPr>
        <w:spacing w:before="60"/>
        <w:jc w:val="center"/>
      </w:pPr>
      <w:r>
        <w:rPr>
          <w:color w:val="5C5A54"/>
          <w:sz w:val="18"/>
          <w:szCs w:val="18"/>
        </w:rPr>
        <w:t xml:space="preserve">Version 1.0</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Welcome</w:t>
      </w:r>
    </w:p>
    <w:p>
      <w:pPr>
        <w:spacing w:after="120" w:line="276"/>
      </w:pPr>
      <w:r>
        <w:t xml:space="preserve">Welcome to the New Learning Horizons (NLH) Platform — your single workspace for running your franchise: enrolling students, tracking fees, ordering kits, viewing the course catalogue and prices, issuing certificates, and managing your sub-network.</w:t>
      </w:r>
    </w:p>
    <w:p>
      <w:pPr>
        <w:spacing w:after="120" w:line="276"/>
      </w:pPr>
      <w:r>
        <w:t xml:space="preserve">This manual explains every feature available to franchisees. Some features differ by tier (State Master Franchisee, City Franchisee, Unit Franchisee); these differences are called out where relevant.</w:t>
      </w:r>
    </w:p>
    <w:p>
      <w:pPr>
        <w:pBdr>
          <w:top w:val="single" w:color="FDE68A" w:sz="2" w:space="4"/>
          <w:bottom w:val="single" w:color="FDE68A" w:sz="2" w:space="4"/>
          <w:left w:val="single" w:color="D97706" w:sz="18" w:space="8"/>
          <w:right w:val="single" w:color="FDE68A" w:sz="2" w:space="4"/>
        </w:pBdr>
        <w:shd w:fill="FFF8E7" w:val="clear"/>
        <w:spacing w:after="140" w:before="80"/>
      </w:pPr>
      <w:r>
        <w:rPr>
          <w:b/>
          <w:bCs/>
          <w:color w:val="B45309"/>
        </w:rPr>
        <w:t xml:space="preserve">Tip:  </w:t>
      </w:r>
      <w:r>
        <w:rPr>
          <w:color w:val="7A4A0A"/>
        </w:rPr>
        <w:t xml:space="preserve">Keep this manual handy. Whenever the platform is updated with new features, a fresh version of this manual will be shared with you.</w:t>
      </w:r>
    </w:p>
    <w:p>
      <w:pPr>
        <w:pStyle w:val="Heading1"/>
      </w:pPr>
      <w:r>
        <w:t xml:space="preserve">2. Your Login &amp; Account</w:t>
      </w:r>
    </w:p>
    <w:p>
      <w:pPr>
        <w:pStyle w:val="Heading2"/>
      </w:pPr>
      <w:r>
        <w:t xml:space="preserve">2.1 Signing in</w:t>
      </w:r>
    </w:p>
    <w:p>
      <w:pPr>
        <w:pStyle w:val="ListParagraph"/>
        <w:numPr>
          <w:ilvl w:val="0"/>
          <w:numId w:val="2"/>
        </w:numPr>
        <w:spacing w:after="80" w:line="264"/>
      </w:pPr>
      <w:r>
        <w:t xml:space="preserve">Open nlh-platform.vercel.app in any modern browser (Chrome, Edge, Safari) on a computer or phone.</w:t>
      </w:r>
    </w:p>
    <w:p>
      <w:pPr>
        <w:pStyle w:val="ListParagraph"/>
        <w:numPr>
          <w:ilvl w:val="0"/>
          <w:numId w:val="2"/>
        </w:numPr>
        <w:spacing w:after="80" w:line="264"/>
      </w:pPr>
      <w:r>
        <w:t xml:space="preserve">Enter your registered email address and password.</w:t>
      </w:r>
    </w:p>
    <w:p>
      <w:pPr>
        <w:pStyle w:val="ListParagraph"/>
        <w:numPr>
          <w:ilvl w:val="0"/>
          <w:numId w:val="2"/>
        </w:numPr>
        <w:spacing w:after="80" w:line="264"/>
      </w:pPr>
      <w:r>
        <w:t xml:space="preserve">Click Log In. You will land on your Dashboard.</w:t>
      </w:r>
    </w:p>
    <w:p>
      <w:pPr>
        <w:pStyle w:val="Heading2"/>
      </w:pPr>
      <w:r>
        <w:t xml:space="preserve">2.2 First-time login / forgot password</w:t>
      </w:r>
    </w:p>
    <w:p>
      <w:pPr>
        <w:spacing w:after="120" w:line="276"/>
      </w:pPr>
      <w:r>
        <w:t xml:space="preserve">When your account is created you receive a welcome email with a temporary password. For security, set your own password:</w:t>
      </w:r>
    </w:p>
    <w:p>
      <w:pPr>
        <w:pStyle w:val="ListParagraph"/>
        <w:numPr>
          <w:ilvl w:val="0"/>
          <w:numId w:val="2"/>
        </w:numPr>
        <w:spacing w:after="80" w:line="264"/>
      </w:pPr>
      <w:r>
        <w:t xml:space="preserve">On the login page, click “Forgot password?”.</w:t>
      </w:r>
    </w:p>
    <w:p>
      <w:pPr>
        <w:pStyle w:val="ListParagraph"/>
        <w:numPr>
          <w:ilvl w:val="0"/>
          <w:numId w:val="2"/>
        </w:numPr>
        <w:spacing w:after="80" w:line="264"/>
      </w:pPr>
      <w:r>
        <w:t xml:space="preserve">Enter your registered email and submit.</w:t>
      </w:r>
    </w:p>
    <w:p>
      <w:pPr>
        <w:pStyle w:val="ListParagraph"/>
        <w:numPr>
          <w:ilvl w:val="0"/>
          <w:numId w:val="2"/>
        </w:numPr>
        <w:spacing w:after="80" w:line="264"/>
      </w:pPr>
      <w:r>
        <w:t xml:space="preserve">Check your inbox for a reset link and choose a new password.</w:t>
      </w:r>
    </w:p>
    <w:p>
      <w:pPr>
        <w:pStyle w:val="ListParagraph"/>
        <w:numPr>
          <w:ilvl w:val="0"/>
          <w:numId w:val="2"/>
        </w:numPr>
        <w:spacing w:after="80" w:line="264"/>
      </w:pPr>
      <w:r>
        <w:t xml:space="preserve">Return to the login page and sign in with your new password.</w:t>
      </w:r>
    </w:p>
    <w:p>
      <w:pPr>
        <w:pBdr>
          <w:top w:val="single" w:color="FDE68A" w:sz="2" w:space="4"/>
          <w:bottom w:val="single" w:color="FDE68A" w:sz="2" w:space="4"/>
          <w:left w:val="single" w:color="D97706" w:sz="18" w:space="8"/>
          <w:right w:val="single" w:color="FDE68A" w:sz="2" w:space="4"/>
        </w:pBdr>
        <w:shd w:fill="FFF8E7" w:val="clear"/>
        <w:spacing w:after="140" w:before="80"/>
      </w:pPr>
      <w:r>
        <w:rPr>
          <w:b/>
          <w:bCs/>
          <w:color w:val="B45309"/>
        </w:rPr>
        <w:t xml:space="preserve">Security:  </w:t>
      </w:r>
      <w:r>
        <w:rPr>
          <w:color w:val="7A4A0A"/>
        </w:rPr>
        <w:t xml:space="preserve">Never share your password. NLH staff will never ask for it. Each login is personal to you and your tier.</w:t>
      </w:r>
    </w:p>
    <w:p>
      <w:pPr>
        <w:pStyle w:val="Heading2"/>
      </w:pPr>
      <w:r>
        <w:t xml:space="preserve">2.3 Roles — what your tier can see</w:t>
      </w:r>
    </w:p>
    <w:tbl>
      <w:tblPr>
        <w:tblW w:type="dxa" w:w="9360"/>
        <w:tblBorders>
          <w:top w:val="single" w:color="D6D0C4" w:sz="1"/>
          <w:left w:val="single" w:color="D6D0C4" w:sz="1"/>
          <w:bottom w:val="single" w:color="D6D0C4" w:sz="1"/>
          <w:right w:val="single" w:color="D6D0C4" w:sz="1"/>
          <w:insideH w:val="single" w:color="D6D0C4" w:sz="1"/>
          <w:insideV w:val="single" w:color="D6D0C4" w:sz="1"/>
        </w:tblBorders>
      </w:tblPr>
      <w:tblGrid>
        <w:gridCol w:w="3000"/>
        <w:gridCol w:w="6360"/>
      </w:tblGrid>
      <w:tr>
        <w:trPr>
          <w:tblHeader/>
        </w:trPr>
        <w:tc>
          <w:tcPr>
            <w:tcW w:type="dxa" w:w="3000"/>
            <w:shd w:fill="534AB7" w:val="clear"/>
            <w:tcMar>
              <w:top w:type="dxa" w:w="90"/>
              <w:left w:type="dxa" w:w="130"/>
              <w:bottom w:type="dxa" w:w="90"/>
              <w:right w:type="dxa" w:w="130"/>
            </w:tcMar>
            <w:vAlign w:val="center"/>
          </w:tcPr>
          <w:p>
            <w:r>
              <w:rPr>
                <w:b/>
                <w:bCs/>
                <w:color w:val="FFFFFF"/>
                <w:sz w:val="19"/>
                <w:szCs w:val="19"/>
              </w:rPr>
              <w:t xml:space="preserve">Tier</w:t>
            </w:r>
          </w:p>
        </w:tc>
        <w:tc>
          <w:tcPr>
            <w:tcW w:type="dxa" w:w="6360"/>
            <w:shd w:fill="534AB7" w:val="clear"/>
            <w:tcMar>
              <w:top w:type="dxa" w:w="90"/>
              <w:left w:type="dxa" w:w="130"/>
              <w:bottom w:type="dxa" w:w="90"/>
              <w:right w:type="dxa" w:w="130"/>
            </w:tcMar>
            <w:vAlign w:val="center"/>
          </w:tcPr>
          <w:p>
            <w:r>
              <w:rPr>
                <w:b/>
                <w:bCs/>
                <w:color w:val="FFFFFF"/>
                <w:sz w:val="19"/>
                <w:szCs w:val="19"/>
              </w:rPr>
              <w:t xml:space="preserve">What you manage</w:t>
            </w:r>
          </w:p>
        </w:tc>
      </w:tr>
      <w:tr>
        <w:tc>
          <w:tcPr>
            <w:tcW w:type="dxa" w:w="3000"/>
            <w:shd w:fill="FFFFFF" w:val="clear"/>
            <w:tcMar>
              <w:top w:type="dxa" w:w="90"/>
              <w:left w:type="dxa" w:w="130"/>
              <w:bottom w:type="dxa" w:w="90"/>
              <w:right w:type="dxa" w:w="130"/>
            </w:tcMar>
            <w:vAlign w:val="center"/>
          </w:tcPr>
          <w:p>
            <w:r>
              <w:rPr>
                <w:b w:val="false"/>
                <w:bCs w:val="false"/>
                <w:color w:val="1A1916"/>
                <w:sz w:val="20"/>
                <w:szCs w:val="20"/>
              </w:rPr>
              <w:t xml:space="preserve">SMF (State Master Franchisee)</w:t>
            </w:r>
          </w:p>
        </w:tc>
        <w:tc>
          <w:tcPr>
            <w:tcW w:type="dxa" w:w="6360"/>
            <w:shd w:fill="FFFFFF" w:val="clear"/>
            <w:tcMar>
              <w:top w:type="dxa" w:w="90"/>
              <w:left w:type="dxa" w:w="130"/>
              <w:bottom w:type="dxa" w:w="90"/>
              <w:right w:type="dxa" w:w="130"/>
            </w:tcMar>
            <w:vAlign w:val="center"/>
          </w:tcPr>
          <w:p>
            <w:r>
              <w:rPr>
                <w:b w:val="false"/>
                <w:bCs w:val="false"/>
                <w:color w:val="1A1916"/>
                <w:sz w:val="20"/>
                <w:szCs w:val="20"/>
              </w:rPr>
              <w:t xml:space="preserve">Your state: all City &amp; Unit franchisees under you, their students and orders, plus the course catalogue.</w:t>
            </w:r>
          </w:p>
        </w:tc>
      </w:tr>
      <w:tr>
        <w:tc>
          <w:tcPr>
            <w:tcW w:type="dxa" w:w="3000"/>
            <w:shd w:fill="FFFFFF" w:val="clear"/>
            <w:tcMar>
              <w:top w:type="dxa" w:w="90"/>
              <w:left w:type="dxa" w:w="130"/>
              <w:bottom w:type="dxa" w:w="90"/>
              <w:right w:type="dxa" w:w="130"/>
            </w:tcMar>
            <w:vAlign w:val="center"/>
          </w:tcPr>
          <w:p>
            <w:r>
              <w:rPr>
                <w:b w:val="false"/>
                <w:bCs w:val="false"/>
                <w:color w:val="1A1916"/>
                <w:sz w:val="20"/>
                <w:szCs w:val="20"/>
              </w:rPr>
              <w:t xml:space="preserve">CF (City Franchisee)</w:t>
            </w:r>
          </w:p>
        </w:tc>
        <w:tc>
          <w:tcPr>
            <w:tcW w:type="dxa" w:w="6360"/>
            <w:shd w:fill="FFFFFF" w:val="clear"/>
            <w:tcMar>
              <w:top w:type="dxa" w:w="90"/>
              <w:left w:type="dxa" w:w="130"/>
              <w:bottom w:type="dxa" w:w="90"/>
              <w:right w:type="dxa" w:w="130"/>
            </w:tcMar>
            <w:vAlign w:val="center"/>
          </w:tcPr>
          <w:p>
            <w:r>
              <w:rPr>
                <w:b w:val="false"/>
                <w:bCs w:val="false"/>
                <w:color w:val="1A1916"/>
                <w:sz w:val="20"/>
                <w:szCs w:val="20"/>
              </w:rPr>
              <w:t xml:space="preserve">Your city: Unit franchisees under you, their students and orders, plus your courses &amp; prices.</w:t>
            </w:r>
          </w:p>
        </w:tc>
      </w:tr>
      <w:tr>
        <w:tc>
          <w:tcPr>
            <w:tcW w:type="dxa" w:w="3000"/>
            <w:shd w:fill="FFFFFF" w:val="clear"/>
            <w:tcMar>
              <w:top w:type="dxa" w:w="90"/>
              <w:left w:type="dxa" w:w="130"/>
              <w:bottom w:type="dxa" w:w="90"/>
              <w:right w:type="dxa" w:w="130"/>
            </w:tcMar>
            <w:vAlign w:val="center"/>
          </w:tcPr>
          <w:p>
            <w:r>
              <w:rPr>
                <w:b w:val="false"/>
                <w:bCs w:val="false"/>
                <w:color w:val="1A1916"/>
                <w:sz w:val="20"/>
                <w:szCs w:val="20"/>
              </w:rPr>
              <w:t xml:space="preserve">UF (Unit Franchisee)</w:t>
            </w:r>
          </w:p>
        </w:tc>
        <w:tc>
          <w:tcPr>
            <w:tcW w:type="dxa" w:w="6360"/>
            <w:shd w:fill="FFFFFF" w:val="clear"/>
            <w:tcMar>
              <w:top w:type="dxa" w:w="90"/>
              <w:left w:type="dxa" w:w="130"/>
              <w:bottom w:type="dxa" w:w="90"/>
              <w:right w:type="dxa" w:w="130"/>
            </w:tcMar>
            <w:vAlign w:val="center"/>
          </w:tcPr>
          <w:p>
            <w:r>
              <w:rPr>
                <w:b w:val="false"/>
                <w:bCs w:val="false"/>
                <w:color w:val="1A1916"/>
                <w:sz w:val="20"/>
                <w:szCs w:val="20"/>
              </w:rPr>
              <w:t xml:space="preserve">Your own centre: your students, your orders, and your courses &amp; prices.</w:t>
            </w:r>
          </w:p>
        </w:tc>
      </w:tr>
    </w:tbl>
    <w:p>
      <w:pPr>
        <w:spacing w:after="60"/>
      </w:pPr>
      <w:r>
        <w:t xml:space="preserve"/>
      </w:r>
    </w:p>
    <w:p>
      <w:pPr>
        <w:pStyle w:val="Heading1"/>
      </w:pPr>
      <w:r>
        <w:t xml:space="preserve">3. The Dashboard</w:t>
      </w:r>
    </w:p>
    <w:p>
      <w:pPr>
        <w:spacing w:after="120" w:line="276"/>
      </w:pPr>
      <w:r>
        <w:t xml:space="preserve">The Dashboard is your home screen and gives an at-a-glance summary of your operation.</w:t>
      </w:r>
    </w:p>
    <w:p>
      <w:pPr>
        <w:pStyle w:val="ListParagraph"/>
        <w:numPr>
          <w:ilvl w:val="0"/>
          <w:numId w:val="3"/>
        </w:numPr>
        <w:spacing w:after="60" w:line="264"/>
      </w:pPr>
      <w:r>
        <w:t xml:space="preserve">Key numbers — students enrolled, orders, fees collected and balance due for your territory.</w:t>
      </w:r>
    </w:p>
    <w:p>
      <w:pPr>
        <w:pStyle w:val="ListParagraph"/>
        <w:numPr>
          <w:ilvl w:val="0"/>
          <w:numId w:val="3"/>
        </w:numPr>
        <w:spacing w:after="60" w:line="264"/>
      </w:pPr>
      <w:r>
        <w:t xml:space="preserve">Search — the search bar finds students, orders or franchisees instantly.</w:t>
      </w:r>
    </w:p>
    <w:p>
      <w:pPr>
        <w:pStyle w:val="ListParagraph"/>
        <w:numPr>
          <w:ilvl w:val="0"/>
          <w:numId w:val="3"/>
        </w:numPr>
        <w:spacing w:after="60" w:line="264"/>
      </w:pPr>
      <w:r>
        <w:t xml:space="preserve">Follow-ups — a single list of students who need attention (see Section 9). Click any item to jump to the student.</w:t>
      </w:r>
    </w:p>
    <w:p>
      <w:pPr>
        <w:pStyle w:val="ListParagraph"/>
        <w:numPr>
          <w:ilvl w:val="0"/>
          <w:numId w:val="3"/>
        </w:numPr>
        <w:spacing w:after="60" w:line="264"/>
      </w:pPr>
      <w:r>
        <w:t xml:space="preserve">Quick actions — shortcuts to place an order, add a student and more.</w:t>
      </w:r>
    </w:p>
    <w:p>
      <w:pPr>
        <w:pStyle w:val="Heading1"/>
      </w:pPr>
      <w:r>
        <w:t xml:space="preserve">4. Students</w:t>
      </w:r>
    </w:p>
    <w:p>
      <w:pPr>
        <w:pStyle w:val="Heading2"/>
      </w:pPr>
      <w:r>
        <w:t xml:space="preserve">4.1 The students list</w:t>
      </w:r>
    </w:p>
    <w:p>
      <w:pPr>
        <w:spacing w:after="120" w:line="276"/>
      </w:pPr>
      <w:r>
        <w:t xml:space="preserve">The Students page lists everyone enrolled in your territory, newest joiners first. Each row shows the student, their course progress, parent contact, fees and payment status.</w:t>
      </w:r>
    </w:p>
    <w:p>
      <w:pPr>
        <w:pStyle w:val="ListParagraph"/>
        <w:numPr>
          <w:ilvl w:val="0"/>
          <w:numId w:val="3"/>
        </w:numPr>
        <w:spacing w:after="60" w:line="264"/>
      </w:pPr>
      <w:r>
        <w:rPr>
          <w:b/>
          <w:bCs/>
        </w:rPr>
        <w:t xml:space="preserve">Sessions column </w:t>
      </w:r>
      <w:r>
        <w:t xml:space="preserve">— shows progress for each course: “12/24” for session-based courses (turns amber when all sessions are done but the course is not yet marked complete), “monthly” for monthly courses (“📅 renew” in the last days of the month), or “✓ done” when completed.</w:t>
      </w:r>
    </w:p>
    <w:p>
      <w:pPr>
        <w:pStyle w:val="ListParagraph"/>
        <w:numPr>
          <w:ilvl w:val="0"/>
          <w:numId w:val="3"/>
        </w:numPr>
        <w:spacing w:after="60" w:line="264"/>
      </w:pPr>
      <w:r>
        <w:rPr>
          <w:b/>
          <w:bCs/>
        </w:rPr>
        <w:t xml:space="preserve">Status </w:t>
      </w:r>
      <w:r>
        <w:t xml:space="preserve">— paid, partial or pending, calculated automatically from the fee ledger.</w:t>
      </w:r>
    </w:p>
    <w:p>
      <w:pPr>
        <w:pStyle w:val="ListParagraph"/>
        <w:numPr>
          <w:ilvl w:val="0"/>
          <w:numId w:val="3"/>
        </w:numPr>
        <w:spacing w:after="60" w:line="264"/>
      </w:pPr>
      <w:r>
        <w:rPr>
          <w:b/>
          <w:bCs/>
        </w:rPr>
        <w:t xml:space="preserve">Export </w:t>
      </w:r>
      <w:r>
        <w:t xml:space="preserve">— download the list as a spreadsheet for your records.</w:t>
      </w:r>
    </w:p>
    <w:p>
      <w:pPr>
        <w:pStyle w:val="Heading2"/>
      </w:pPr>
      <w:r>
        <w:t xml:space="preserve">4.2 Enrolling a new student</w:t>
      </w:r>
    </w:p>
    <w:p>
      <w:pPr>
        <w:pStyle w:val="ListParagraph"/>
        <w:numPr>
          <w:ilvl w:val="0"/>
          <w:numId w:val="2"/>
        </w:numPr>
        <w:spacing w:after="80" w:line="264"/>
      </w:pPr>
      <w:r>
        <w:t xml:space="preserve">Click + Enrol Student (top right of the Students page).</w:t>
      </w:r>
    </w:p>
    <w:p>
      <w:pPr>
        <w:pStyle w:val="ListParagraph"/>
        <w:numPr>
          <w:ilvl w:val="0"/>
          <w:numId w:val="2"/>
        </w:numPr>
        <w:spacing w:after="80" w:line="264"/>
      </w:pPr>
      <w:r>
        <w:t xml:space="preserve">Enter the student’s name, parent/guardian name, gender, date of registration, phone and parent email.</w:t>
      </w:r>
    </w:p>
    <w:p>
      <w:pPr>
        <w:pStyle w:val="ListParagraph"/>
        <w:numPr>
          <w:ilvl w:val="0"/>
          <w:numId w:val="2"/>
        </w:numPr>
        <w:spacing w:after="80" w:line="264"/>
      </w:pPr>
      <w:r>
        <w:t xml:space="preserve">If the student is part of a special camp (e.g. a summer camp), set Enrolment Channel to “Camp / Event” and type the camp name — it will print on the certificate.</w:t>
      </w:r>
    </w:p>
    <w:p>
      <w:pPr>
        <w:pStyle w:val="ListParagraph"/>
        <w:numPr>
          <w:ilvl w:val="0"/>
          <w:numId w:val="2"/>
        </w:numPr>
        <w:spacing w:after="80" w:line="264"/>
      </w:pPr>
      <w:r>
        <w:t xml:space="preserve">Choose the enrolment centre and select the course(s) and level(s) the student is taking.</w:t>
      </w:r>
    </w:p>
    <w:p>
      <w:pPr>
        <w:pStyle w:val="ListParagraph"/>
        <w:numPr>
          <w:ilvl w:val="0"/>
          <w:numId w:val="2"/>
        </w:numPr>
        <w:spacing w:after="80" w:line="264"/>
      </w:pPr>
      <w:r>
        <w:t xml:space="preserve">Optionally assign the student to a batch and set the joining date.</w:t>
      </w:r>
    </w:p>
    <w:p>
      <w:pPr>
        <w:pStyle w:val="ListParagraph"/>
        <w:numPr>
          <w:ilvl w:val="0"/>
          <w:numId w:val="2"/>
        </w:numPr>
        <w:spacing w:after="80" w:line="264"/>
      </w:pPr>
      <w:r>
        <w:t xml:space="preserve">Click Add Student. The parent receives a welcome message and the student appears in your list.</w:t>
      </w:r>
    </w:p>
    <w:p>
      <w:pPr>
        <w:pBdr>
          <w:top w:val="single" w:color="FDE68A" w:sz="2" w:space="4"/>
          <w:bottom w:val="single" w:color="FDE68A" w:sz="2" w:space="4"/>
          <w:left w:val="single" w:color="D97706" w:sz="18" w:space="8"/>
          <w:right w:val="single" w:color="FDE68A" w:sz="2" w:space="4"/>
        </w:pBdr>
        <w:shd w:fill="FFF8E7" w:val="clear"/>
        <w:spacing w:after="140" w:before="80"/>
      </w:pPr>
      <w:r>
        <w:rPr>
          <w:b/>
          <w:bCs/>
          <w:color w:val="B45309"/>
        </w:rPr>
        <w:t xml:space="preserve">Joining date:  </w:t>
      </w:r>
      <w:r>
        <w:rPr>
          <w:color w:val="7A4A0A"/>
        </w:rPr>
        <w:t xml:space="preserve">The batch joining date defaults to the student’s registration date, so attendance is counted from when they actually started. You can change it any time.</w:t>
      </w:r>
    </w:p>
    <w:p>
      <w:pPr>
        <w:pStyle w:val="Heading2"/>
      </w:pPr>
      <w:r>
        <w:t xml:space="preserve">4.3 The student profile</w:t>
      </w:r>
    </w:p>
    <w:p>
      <w:pPr>
        <w:spacing w:after="120" w:line="276"/>
      </w:pPr>
      <w:r>
        <w:t xml:space="preserve">Click VIEW on any student to open their profile. It has two tabs:</w:t>
      </w:r>
    </w:p>
    <w:p>
      <w:pPr>
        <w:pStyle w:val="ListParagraph"/>
        <w:numPr>
          <w:ilvl w:val="0"/>
          <w:numId w:val="3"/>
        </w:numPr>
        <w:spacing w:after="60" w:line="264"/>
      </w:pPr>
      <w:r>
        <w:rPr>
          <w:b/>
          <w:bCs/>
        </w:rPr>
        <w:t xml:space="preserve">Profile </w:t>
      </w:r>
      <w:r>
        <w:t xml:space="preserve">— personal details, address, enrolment channel/camp, and Fee Tracking.</w:t>
      </w:r>
    </w:p>
    <w:p>
      <w:pPr>
        <w:pStyle w:val="ListParagraph"/>
        <w:numPr>
          <w:ilvl w:val="0"/>
          <w:numId w:val="3"/>
        </w:numPr>
        <w:spacing w:after="60" w:line="264"/>
      </w:pPr>
      <w:r>
        <w:rPr>
          <w:b/>
          <w:bCs/>
        </w:rPr>
        <w:t xml:space="preserve">Courses &amp; Batches </w:t>
      </w:r>
      <w:r>
        <w:t xml:space="preserve">— the courses the student is enrolled in, their batch, attendance progress, certificates and completion.</w:t>
      </w:r>
    </w:p>
    <w:p>
      <w:pPr>
        <w:pStyle w:val="Heading2"/>
      </w:pPr>
      <w:r>
        <w:t xml:space="preserve">4.4 Courses &amp; batches for a student</w:t>
      </w:r>
    </w:p>
    <w:p>
      <w:pPr>
        <w:pStyle w:val="ListParagraph"/>
        <w:numPr>
          <w:ilvl w:val="0"/>
          <w:numId w:val="3"/>
        </w:numPr>
        <w:spacing w:after="60" w:line="264"/>
      </w:pPr>
      <w:r>
        <w:rPr>
          <w:b/>
          <w:bCs/>
        </w:rPr>
        <w:t xml:space="preserve">+ Batch / Edit Batch </w:t>
      </w:r>
      <w:r>
        <w:t xml:space="preserve">— assign the student to an existing batch for that course, or change batches.</w:t>
      </w:r>
    </w:p>
    <w:p>
      <w:pPr>
        <w:pStyle w:val="ListParagraph"/>
        <w:numPr>
          <w:ilvl w:val="0"/>
          <w:numId w:val="3"/>
        </w:numPr>
        <w:spacing w:after="60" w:line="264"/>
      </w:pPr>
      <w:r>
        <w:rPr>
          <w:b/>
          <w:bCs/>
        </w:rPr>
        <w:t xml:space="preserve">⇄ Level </w:t>
      </w:r>
      <w:r>
        <w:t xml:space="preserve">— change the course/level if the wrong one was selected. The batch, attendance and certificate history are preserved — only the level changes.</w:t>
      </w:r>
    </w:p>
    <w:p>
      <w:pPr>
        <w:pStyle w:val="ListParagraph"/>
        <w:numPr>
          <w:ilvl w:val="0"/>
          <w:numId w:val="3"/>
        </w:numPr>
        <w:spacing w:after="60" w:line="264"/>
      </w:pPr>
      <w:r>
        <w:rPr>
          <w:b/>
          <w:bCs/>
        </w:rPr>
        <w:t xml:space="preserve">✓ Complete </w:t>
      </w:r>
      <w:r>
        <w:t xml:space="preserve">— mark a course complete and choose the actual end date. The student then drops off any sessions after that date.</w:t>
      </w:r>
    </w:p>
    <w:p>
      <w:pPr>
        <w:pStyle w:val="ListParagraph"/>
        <w:numPr>
          <w:ilvl w:val="0"/>
          <w:numId w:val="3"/>
        </w:numPr>
        <w:spacing w:after="60" w:line="264"/>
      </w:pPr>
      <w:r>
        <w:rPr>
          <w:b/>
          <w:bCs/>
        </w:rPr>
        <w:t xml:space="preserve">🎓 Cert </w:t>
      </w:r>
      <w:r>
        <w:t xml:space="preserve">— generate the Certificate of Accomplishment (see Section 8).</w:t>
      </w:r>
    </w:p>
    <w:p>
      <w:pPr>
        <w:pStyle w:val="ListParagraph"/>
        <w:numPr>
          <w:ilvl w:val="0"/>
          <w:numId w:val="3"/>
        </w:numPr>
        <w:spacing w:after="60" w:line="264"/>
      </w:pPr>
      <w:r>
        <w:rPr>
          <w:b/>
          <w:bCs/>
        </w:rPr>
        <w:t xml:space="preserve">💬 Review </w:t>
      </w:r>
      <w:r>
        <w:t xml:space="preserve">— once complete, send the parent a Google review request on WhatsApp.</w:t>
      </w:r>
    </w:p>
    <w:p>
      <w:pPr>
        <w:pStyle w:val="Heading2"/>
      </w:pPr>
      <w:r>
        <w:t xml:space="preserve">4.5 Fee tracking &amp; recording payments</w:t>
      </w:r>
    </w:p>
    <w:p>
      <w:pPr>
        <w:spacing w:after="120" w:line="276"/>
      </w:pPr>
      <w:r>
        <w:t xml:space="preserve">Each student has a fee ledger. Fee Total is the agreed course fee; Fee Paid is the sum of all recorded payments; Balance is the difference.</w:t>
      </w:r>
    </w:p>
    <w:p>
      <w:pPr>
        <w:spacing w:after="120" w:line="276"/>
      </w:pPr>
      <w:r>
        <w:t xml:space="preserve">To record a payment:</w:t>
      </w:r>
    </w:p>
    <w:p>
      <w:pPr>
        <w:pStyle w:val="ListParagraph"/>
        <w:numPr>
          <w:ilvl w:val="0"/>
          <w:numId w:val="2"/>
        </w:numPr>
        <w:spacing w:after="80" w:line="264"/>
      </w:pPr>
      <w:r>
        <w:t xml:space="preserve">Open the student’s Profile tab and find Fee Tracking.</w:t>
      </w:r>
    </w:p>
    <w:p>
      <w:pPr>
        <w:pStyle w:val="ListParagraph"/>
        <w:numPr>
          <w:ilvl w:val="0"/>
          <w:numId w:val="2"/>
        </w:numPr>
        <w:spacing w:after="80" w:line="264"/>
      </w:pPr>
      <w:r>
        <w:t xml:space="preserve">Click + Record Payment.</w:t>
      </w:r>
    </w:p>
    <w:p>
      <w:pPr>
        <w:pStyle w:val="ListParagraph"/>
        <w:numPr>
          <w:ilvl w:val="0"/>
          <w:numId w:val="2"/>
        </w:numPr>
        <w:spacing w:after="80" w:line="264"/>
      </w:pPr>
      <w:r>
        <w:t xml:space="preserve">Enter only the amount received now (e.g. ₹1,500), the date, the mode (cash, UPI, bank transfer, cheque, card, online) and an optional reference (UTR / cheque number).</w:t>
      </w:r>
    </w:p>
    <w:p>
      <w:pPr>
        <w:pStyle w:val="ListParagraph"/>
        <w:numPr>
          <w:ilvl w:val="0"/>
          <w:numId w:val="2"/>
        </w:numPr>
        <w:spacing w:after="80" w:line="264"/>
      </w:pPr>
      <w:r>
        <w:t xml:space="preserve">Click Record Payment. The amount is added to the running total and the balance/status update automatically.</w:t>
      </w:r>
    </w:p>
    <w:p>
      <w:pPr>
        <w:pBdr>
          <w:top w:val="single" w:color="FDE68A" w:sz="2" w:space="4"/>
          <w:bottom w:val="single" w:color="FDE68A" w:sz="2" w:space="4"/>
          <w:left w:val="single" w:color="D97706" w:sz="18" w:space="8"/>
          <w:right w:val="single" w:color="FDE68A" w:sz="2" w:space="4"/>
        </w:pBdr>
        <w:shd w:fill="FFF8E7" w:val="clear"/>
        <w:spacing w:after="140" w:before="80"/>
      </w:pPr>
      <w:r>
        <w:rPr>
          <w:b/>
          <w:bCs/>
          <w:color w:val="B45309"/>
        </w:rPr>
        <w:t xml:space="preserve">Important:  </w:t>
      </w:r>
      <w:r>
        <w:rPr>
          <w:color w:val="7A4A0A"/>
        </w:rPr>
        <w:t xml:space="preserve">You no longer type the total paid — you record each instalment, and the platform keeps the running total. Every payment is listed in the Payment History with its date, mode and reference.</w:t>
      </w:r>
    </w:p>
    <w:p>
      <w:pPr>
        <w:pStyle w:val="Heading1"/>
      </w:pPr>
      <w:r>
        <w:t xml:space="preserve">5. Course Catalogue &amp; Pricing</w:t>
      </w:r>
    </w:p>
    <w:p>
      <w:pPr>
        <w:spacing w:after="120" w:line="276"/>
      </w:pPr>
      <w:r>
        <w:t xml:space="preserve">The Courses page shows every NLH program as a card. Click a program to expand its levels and prices.</w:t>
      </w:r>
    </w:p>
    <w:p>
      <w:pPr>
        <w:spacing w:after="120" w:line="276"/>
      </w:pPr>
      <w:r>
        <w:t xml:space="preserve">The prices you see depend on your tier:</w:t>
      </w:r>
    </w:p>
    <w:tbl>
      <w:tblPr>
        <w:tblW w:type="dxa" w:w="9360"/>
        <w:tblBorders>
          <w:top w:val="single" w:color="D6D0C4" w:sz="1"/>
          <w:left w:val="single" w:color="D6D0C4" w:sz="1"/>
          <w:bottom w:val="single" w:color="D6D0C4" w:sz="1"/>
          <w:right w:val="single" w:color="D6D0C4" w:sz="1"/>
          <w:insideH w:val="single" w:color="D6D0C4" w:sz="1"/>
          <w:insideV w:val="single" w:color="D6D0C4" w:sz="1"/>
        </w:tblBorders>
      </w:tblPr>
      <w:tblGrid>
        <w:gridCol w:w="2400"/>
        <w:gridCol w:w="6960"/>
      </w:tblGrid>
      <w:tr>
        <w:trPr>
          <w:tblHeader/>
        </w:trPr>
        <w:tc>
          <w:tcPr>
            <w:tcW w:type="dxa" w:w="2400"/>
            <w:shd w:fill="534AB7" w:val="clear"/>
            <w:tcMar>
              <w:top w:type="dxa" w:w="90"/>
              <w:left w:type="dxa" w:w="130"/>
              <w:bottom w:type="dxa" w:w="90"/>
              <w:right w:type="dxa" w:w="130"/>
            </w:tcMar>
            <w:vAlign w:val="center"/>
          </w:tcPr>
          <w:p>
            <w:r>
              <w:rPr>
                <w:b/>
                <w:bCs/>
                <w:color w:val="FFFFFF"/>
                <w:sz w:val="19"/>
                <w:szCs w:val="19"/>
              </w:rPr>
              <w:t xml:space="preserve">Your tier</w:t>
            </w:r>
          </w:p>
        </w:tc>
        <w:tc>
          <w:tcPr>
            <w:tcW w:type="dxa" w:w="6960"/>
            <w:shd w:fill="534AB7" w:val="clear"/>
            <w:tcMar>
              <w:top w:type="dxa" w:w="90"/>
              <w:left w:type="dxa" w:w="130"/>
              <w:bottom w:type="dxa" w:w="90"/>
              <w:right w:type="dxa" w:w="130"/>
            </w:tcMar>
            <w:vAlign w:val="center"/>
          </w:tcPr>
          <w:p>
            <w:r>
              <w:rPr>
                <w:b/>
                <w:bCs/>
                <w:color w:val="FFFFFF"/>
                <w:sz w:val="19"/>
                <w:szCs w:val="19"/>
              </w:rPr>
              <w:t xml:space="preserve">Columns you see</w:t>
            </w:r>
          </w:p>
        </w:tc>
      </w:tr>
      <w:tr>
        <w:tc>
          <w:tcPr>
            <w:tcW w:type="dxa" w:w="2400"/>
            <w:shd w:fill="FFFFFF" w:val="clear"/>
            <w:tcMar>
              <w:top w:type="dxa" w:w="90"/>
              <w:left w:type="dxa" w:w="130"/>
              <w:bottom w:type="dxa" w:w="90"/>
              <w:right w:type="dxa" w:w="130"/>
            </w:tcMar>
            <w:vAlign w:val="center"/>
          </w:tcPr>
          <w:p>
            <w:r>
              <w:rPr>
                <w:b w:val="false"/>
                <w:bCs w:val="false"/>
                <w:color w:val="1A1916"/>
                <w:sz w:val="20"/>
                <w:szCs w:val="20"/>
              </w:rPr>
              <w:t xml:space="preserve">SMF</w:t>
            </w:r>
          </w:p>
        </w:tc>
        <w:tc>
          <w:tcPr>
            <w:tcW w:type="dxa" w:w="6960"/>
            <w:shd w:fill="FFFFFF" w:val="clear"/>
            <w:tcMar>
              <w:top w:type="dxa" w:w="90"/>
              <w:left w:type="dxa" w:w="130"/>
              <w:bottom w:type="dxa" w:w="90"/>
              <w:right w:type="dxa" w:w="130"/>
            </w:tcMar>
            <w:vAlign w:val="center"/>
          </w:tcPr>
          <w:p>
            <w:r>
              <w:rPr>
                <w:b w:val="false"/>
                <w:bCs w:val="false"/>
                <w:color w:val="1A1916"/>
                <w:sz w:val="20"/>
                <w:szCs w:val="20"/>
              </w:rPr>
              <w:t xml:space="preserve">Your SMF rate, the CF rate, the UF rate, and the Student Fee.</w:t>
            </w:r>
          </w:p>
        </w:tc>
      </w:tr>
      <w:tr>
        <w:tc>
          <w:tcPr>
            <w:tcW w:type="dxa" w:w="2400"/>
            <w:shd w:fill="FFFFFF" w:val="clear"/>
            <w:tcMar>
              <w:top w:type="dxa" w:w="90"/>
              <w:left w:type="dxa" w:w="130"/>
              <w:bottom w:type="dxa" w:w="90"/>
              <w:right w:type="dxa" w:w="130"/>
            </w:tcMar>
            <w:vAlign w:val="center"/>
          </w:tcPr>
          <w:p>
            <w:r>
              <w:rPr>
                <w:b w:val="false"/>
                <w:bCs w:val="false"/>
                <w:color w:val="1A1916"/>
                <w:sz w:val="20"/>
                <w:szCs w:val="20"/>
              </w:rPr>
              <w:t xml:space="preserve">CF</w:t>
            </w:r>
          </w:p>
        </w:tc>
        <w:tc>
          <w:tcPr>
            <w:tcW w:type="dxa" w:w="6960"/>
            <w:shd w:fill="FFFFFF" w:val="clear"/>
            <w:tcMar>
              <w:top w:type="dxa" w:w="90"/>
              <w:left w:type="dxa" w:w="130"/>
              <w:bottom w:type="dxa" w:w="90"/>
              <w:right w:type="dxa" w:w="130"/>
            </w:tcMar>
            <w:vAlign w:val="center"/>
          </w:tcPr>
          <w:p>
            <w:r>
              <w:rPr>
                <w:b w:val="false"/>
                <w:bCs w:val="false"/>
                <w:color w:val="1A1916"/>
                <w:sz w:val="20"/>
                <w:szCs w:val="20"/>
              </w:rPr>
              <w:t xml:space="preserve">Your CF rate, the UF rate, and the Student Fee.</w:t>
            </w:r>
          </w:p>
        </w:tc>
      </w:tr>
      <w:tr>
        <w:tc>
          <w:tcPr>
            <w:tcW w:type="dxa" w:w="2400"/>
            <w:shd w:fill="FFFFFF" w:val="clear"/>
            <w:tcMar>
              <w:top w:type="dxa" w:w="90"/>
              <w:left w:type="dxa" w:w="130"/>
              <w:bottom w:type="dxa" w:w="90"/>
              <w:right w:type="dxa" w:w="130"/>
            </w:tcMar>
            <w:vAlign w:val="center"/>
          </w:tcPr>
          <w:p>
            <w:r>
              <w:rPr>
                <w:b w:val="false"/>
                <w:bCs w:val="false"/>
                <w:color w:val="1A1916"/>
                <w:sz w:val="20"/>
                <w:szCs w:val="20"/>
              </w:rPr>
              <w:t xml:space="preserve">UF</w:t>
            </w:r>
          </w:p>
        </w:tc>
        <w:tc>
          <w:tcPr>
            <w:tcW w:type="dxa" w:w="6960"/>
            <w:shd w:fill="FFFFFF" w:val="clear"/>
            <w:tcMar>
              <w:top w:type="dxa" w:w="90"/>
              <w:left w:type="dxa" w:w="130"/>
              <w:bottom w:type="dxa" w:w="90"/>
              <w:right w:type="dxa" w:w="130"/>
            </w:tcMar>
            <w:vAlign w:val="center"/>
          </w:tcPr>
          <w:p>
            <w:r>
              <w:rPr>
                <w:b w:val="false"/>
                <w:bCs w:val="false"/>
                <w:color w:val="1A1916"/>
                <w:sz w:val="20"/>
                <w:szCs w:val="20"/>
              </w:rPr>
              <w:t xml:space="preserve">Your kit rate and the Student Fee (what the parent pays).</w:t>
            </w:r>
          </w:p>
        </w:tc>
      </w:tr>
    </w:tbl>
    <w:p>
      <w:pPr>
        <w:spacing w:after="60"/>
      </w:pPr>
      <w:r>
        <w:t xml:space="preserve"/>
      </w:r>
    </w:p>
    <w:p>
      <w:pPr>
        <w:spacing w:after="120" w:line="276"/>
      </w:pPr>
      <w:r>
        <w:t xml:space="preserve">Use the search box to find any program or level quickly. The catalogue is maintained centrally by NLH — if a price looks wrong, contact the head office.</w:t>
      </w:r>
    </w:p>
    <w:p>
      <w:pPr>
        <w:pStyle w:val="Heading1"/>
      </w:pPr>
      <w:r>
        <w:t xml:space="preserve">6. Ordering Kits</w:t>
      </w:r>
    </w:p>
    <w:p>
      <w:pPr>
        <w:spacing w:after="120" w:line="276"/>
      </w:pPr>
      <w:r>
        <w:t xml:space="preserve">Order learning kits for your enrolled levels through the Orders page. Orders flow through a clear lifecycle.</w:t>
      </w:r>
    </w:p>
    <w:p>
      <w:pPr>
        <w:pStyle w:val="Heading2"/>
      </w:pPr>
      <w:r>
        <w:t xml:space="preserve">6.1 Placing an order</w:t>
      </w:r>
    </w:p>
    <w:p>
      <w:pPr>
        <w:pStyle w:val="ListParagraph"/>
        <w:numPr>
          <w:ilvl w:val="0"/>
          <w:numId w:val="2"/>
        </w:numPr>
        <w:spacing w:after="80" w:line="264"/>
      </w:pPr>
      <w:r>
        <w:t xml:space="preserve">Go to the Orders page and click + New Order.</w:t>
      </w:r>
    </w:p>
    <w:p>
      <w:pPr>
        <w:pStyle w:val="ListParagraph"/>
        <w:numPr>
          <w:ilvl w:val="0"/>
          <w:numId w:val="2"/>
        </w:numPr>
        <w:spacing w:after="80" w:line="264"/>
      </w:pPr>
      <w:r>
        <w:t xml:space="preserve">Select the SKUs (course levels) and quantities you need. You can only order for levels your centre is enabled for.</w:t>
      </w:r>
    </w:p>
    <w:p>
      <w:pPr>
        <w:pStyle w:val="ListParagraph"/>
        <w:numPr>
          <w:ilvl w:val="0"/>
          <w:numId w:val="2"/>
        </w:numPr>
        <w:spacing w:after="80" w:line="264"/>
      </w:pPr>
      <w:r>
        <w:t xml:space="preserve">Enter the delivery address and submit. You receive an order confirmation by email.</w:t>
      </w:r>
    </w:p>
    <w:p>
      <w:pPr>
        <w:pStyle w:val="Heading2"/>
      </w:pPr>
      <w:r>
        <w:t xml:space="preserve">6.2 Order lifecycle</w:t>
      </w:r>
    </w:p>
    <w:tbl>
      <w:tblPr>
        <w:tblW w:type="dxa" w:w="9360"/>
        <w:tblBorders>
          <w:top w:val="single" w:color="D6D0C4" w:sz="1"/>
          <w:left w:val="single" w:color="D6D0C4" w:sz="1"/>
          <w:bottom w:val="single" w:color="D6D0C4" w:sz="1"/>
          <w:right w:val="single" w:color="D6D0C4" w:sz="1"/>
          <w:insideH w:val="single" w:color="D6D0C4" w:sz="1"/>
          <w:insideV w:val="single" w:color="D6D0C4" w:sz="1"/>
        </w:tblBorders>
      </w:tblPr>
      <w:tblGrid>
        <w:gridCol w:w="2600"/>
        <w:gridCol w:w="6760"/>
      </w:tblGrid>
      <w:tr>
        <w:trPr>
          <w:tblHeader/>
        </w:trPr>
        <w:tc>
          <w:tcPr>
            <w:tcW w:type="dxa" w:w="2600"/>
            <w:shd w:fill="534AB7" w:val="clear"/>
            <w:tcMar>
              <w:top w:type="dxa" w:w="90"/>
              <w:left w:type="dxa" w:w="130"/>
              <w:bottom w:type="dxa" w:w="90"/>
              <w:right w:type="dxa" w:w="130"/>
            </w:tcMar>
            <w:vAlign w:val="center"/>
          </w:tcPr>
          <w:p>
            <w:r>
              <w:rPr>
                <w:b/>
                <w:bCs/>
                <w:color w:val="FFFFFF"/>
                <w:sz w:val="19"/>
                <w:szCs w:val="19"/>
              </w:rPr>
              <w:t xml:space="preserve">Stage</w:t>
            </w:r>
          </w:p>
        </w:tc>
        <w:tc>
          <w:tcPr>
            <w:tcW w:type="dxa" w:w="6760"/>
            <w:shd w:fill="534AB7" w:val="clear"/>
            <w:tcMar>
              <w:top w:type="dxa" w:w="90"/>
              <w:left w:type="dxa" w:w="130"/>
              <w:bottom w:type="dxa" w:w="90"/>
              <w:right w:type="dxa" w:w="130"/>
            </w:tcMar>
            <w:vAlign w:val="center"/>
          </w:tcPr>
          <w:p>
            <w:r>
              <w:rPr>
                <w:b/>
                <w:bCs/>
                <w:color w:val="FFFFFF"/>
                <w:sz w:val="19"/>
                <w:szCs w:val="19"/>
              </w:rPr>
              <w:t xml:space="preserve">What it means</w:t>
            </w:r>
          </w:p>
        </w:tc>
      </w:tr>
      <w:tr>
        <w:tc>
          <w:tcPr>
            <w:tcW w:type="dxa" w:w="2600"/>
            <w:shd w:fill="FFFFFF" w:val="clear"/>
            <w:tcMar>
              <w:top w:type="dxa" w:w="90"/>
              <w:left w:type="dxa" w:w="130"/>
              <w:bottom w:type="dxa" w:w="90"/>
              <w:right w:type="dxa" w:w="130"/>
            </w:tcMar>
            <w:vAlign w:val="center"/>
          </w:tcPr>
          <w:p>
            <w:r>
              <w:rPr>
                <w:b w:val="false"/>
                <w:bCs w:val="false"/>
                <w:color w:val="1A1916"/>
                <w:sz w:val="20"/>
                <w:szCs w:val="20"/>
              </w:rPr>
              <w:t xml:space="preserve">Pending</w:t>
            </w:r>
          </w:p>
        </w:tc>
        <w:tc>
          <w:tcPr>
            <w:tcW w:type="dxa" w:w="6760"/>
            <w:shd w:fill="FFFFFF" w:val="clear"/>
            <w:tcMar>
              <w:top w:type="dxa" w:w="90"/>
              <w:left w:type="dxa" w:w="130"/>
              <w:bottom w:type="dxa" w:w="90"/>
              <w:right w:type="dxa" w:w="130"/>
            </w:tcMar>
            <w:vAlign w:val="center"/>
          </w:tcPr>
          <w:p>
            <w:r>
              <w:rPr>
                <w:b w:val="false"/>
                <w:bCs w:val="false"/>
                <w:color w:val="1A1916"/>
                <w:sz w:val="20"/>
                <w:szCs w:val="20"/>
              </w:rPr>
              <w:t xml:space="preserve">Order placed, awaiting invoice from NLH.</w:t>
            </w:r>
          </w:p>
        </w:tc>
      </w:tr>
      <w:tr>
        <w:tc>
          <w:tcPr>
            <w:tcW w:type="dxa" w:w="2600"/>
            <w:shd w:fill="FFFFFF" w:val="clear"/>
            <w:tcMar>
              <w:top w:type="dxa" w:w="90"/>
              <w:left w:type="dxa" w:w="130"/>
              <w:bottom w:type="dxa" w:w="90"/>
              <w:right w:type="dxa" w:w="130"/>
            </w:tcMar>
            <w:vAlign w:val="center"/>
          </w:tcPr>
          <w:p>
            <w:r>
              <w:rPr>
                <w:b w:val="false"/>
                <w:bCs w:val="false"/>
                <w:color w:val="1A1916"/>
                <w:sz w:val="20"/>
                <w:szCs w:val="20"/>
              </w:rPr>
              <w:t xml:space="preserve">Invoiced</w:t>
            </w:r>
          </w:p>
        </w:tc>
        <w:tc>
          <w:tcPr>
            <w:tcW w:type="dxa" w:w="6760"/>
            <w:shd w:fill="FFFFFF" w:val="clear"/>
            <w:tcMar>
              <w:top w:type="dxa" w:w="90"/>
              <w:left w:type="dxa" w:w="130"/>
              <w:bottom w:type="dxa" w:w="90"/>
              <w:right w:type="dxa" w:w="130"/>
            </w:tcMar>
            <w:vAlign w:val="center"/>
          </w:tcPr>
          <w:p>
            <w:r>
              <w:rPr>
                <w:b w:val="false"/>
                <w:bCs w:val="false"/>
                <w:color w:val="1A1916"/>
                <w:sz w:val="20"/>
                <w:szCs w:val="20"/>
              </w:rPr>
              <w:t xml:space="preserve">NLH has generated your invoice — review the amount and pay.</w:t>
            </w:r>
          </w:p>
        </w:tc>
      </w:tr>
      <w:tr>
        <w:tc>
          <w:tcPr>
            <w:tcW w:type="dxa" w:w="2600"/>
            <w:shd w:fill="FFFFFF" w:val="clear"/>
            <w:tcMar>
              <w:top w:type="dxa" w:w="90"/>
              <w:left w:type="dxa" w:w="130"/>
              <w:bottom w:type="dxa" w:w="90"/>
              <w:right w:type="dxa" w:w="130"/>
            </w:tcMar>
            <w:vAlign w:val="center"/>
          </w:tcPr>
          <w:p>
            <w:r>
              <w:rPr>
                <w:b w:val="false"/>
                <w:bCs w:val="false"/>
                <w:color w:val="1A1916"/>
                <w:sz w:val="20"/>
                <w:szCs w:val="20"/>
              </w:rPr>
              <w:t xml:space="preserve">Payment submitted</w:t>
            </w:r>
          </w:p>
        </w:tc>
        <w:tc>
          <w:tcPr>
            <w:tcW w:type="dxa" w:w="6760"/>
            <w:shd w:fill="FFFFFF" w:val="clear"/>
            <w:tcMar>
              <w:top w:type="dxa" w:w="90"/>
              <w:left w:type="dxa" w:w="130"/>
              <w:bottom w:type="dxa" w:w="90"/>
              <w:right w:type="dxa" w:w="130"/>
            </w:tcMar>
            <w:vAlign w:val="center"/>
          </w:tcPr>
          <w:p>
            <w:r>
              <w:rPr>
                <w:b w:val="false"/>
                <w:bCs w:val="false"/>
                <w:color w:val="1A1916"/>
                <w:sz w:val="20"/>
                <w:szCs w:val="20"/>
              </w:rPr>
              <w:t xml:space="preserve">You have entered your payment mode + UTR / reference.</w:t>
            </w:r>
          </w:p>
        </w:tc>
      </w:tr>
      <w:tr>
        <w:tc>
          <w:tcPr>
            <w:tcW w:type="dxa" w:w="2600"/>
            <w:shd w:fill="FFFFFF" w:val="clear"/>
            <w:tcMar>
              <w:top w:type="dxa" w:w="90"/>
              <w:left w:type="dxa" w:w="130"/>
              <w:bottom w:type="dxa" w:w="90"/>
              <w:right w:type="dxa" w:w="130"/>
            </w:tcMar>
            <w:vAlign w:val="center"/>
          </w:tcPr>
          <w:p>
            <w:r>
              <w:rPr>
                <w:b w:val="false"/>
                <w:bCs w:val="false"/>
                <w:color w:val="1A1916"/>
                <w:sz w:val="20"/>
                <w:szCs w:val="20"/>
              </w:rPr>
              <w:t xml:space="preserve">Verified / Closed</w:t>
            </w:r>
          </w:p>
        </w:tc>
        <w:tc>
          <w:tcPr>
            <w:tcW w:type="dxa" w:w="6760"/>
            <w:shd w:fill="FFFFFF" w:val="clear"/>
            <w:tcMar>
              <w:top w:type="dxa" w:w="90"/>
              <w:left w:type="dxa" w:w="130"/>
              <w:bottom w:type="dxa" w:w="90"/>
              <w:right w:type="dxa" w:w="130"/>
            </w:tcMar>
            <w:vAlign w:val="center"/>
          </w:tcPr>
          <w:p>
            <w:r>
              <w:rPr>
                <w:b w:val="false"/>
                <w:bCs w:val="false"/>
                <w:color w:val="1A1916"/>
                <w:sz w:val="20"/>
                <w:szCs w:val="20"/>
              </w:rPr>
              <w:t xml:space="preserve">NLH has confirmed the payment.</w:t>
            </w:r>
          </w:p>
        </w:tc>
      </w:tr>
      <w:tr>
        <w:tc>
          <w:tcPr>
            <w:tcW w:type="dxa" w:w="2600"/>
            <w:shd w:fill="FFFFFF" w:val="clear"/>
            <w:tcMar>
              <w:top w:type="dxa" w:w="90"/>
              <w:left w:type="dxa" w:w="130"/>
              <w:bottom w:type="dxa" w:w="90"/>
              <w:right w:type="dxa" w:w="130"/>
            </w:tcMar>
            <w:vAlign w:val="center"/>
          </w:tcPr>
          <w:p>
            <w:r>
              <w:rPr>
                <w:b w:val="false"/>
                <w:bCs w:val="false"/>
                <w:color w:val="1A1916"/>
                <w:sz w:val="20"/>
                <w:szCs w:val="20"/>
              </w:rPr>
              <w:t xml:space="preserve">Dispatched</w:t>
            </w:r>
          </w:p>
        </w:tc>
        <w:tc>
          <w:tcPr>
            <w:tcW w:type="dxa" w:w="6760"/>
            <w:shd w:fill="FFFFFF" w:val="clear"/>
            <w:tcMar>
              <w:top w:type="dxa" w:w="90"/>
              <w:left w:type="dxa" w:w="130"/>
              <w:bottom w:type="dxa" w:w="90"/>
              <w:right w:type="dxa" w:w="130"/>
            </w:tcMar>
            <w:vAlign w:val="center"/>
          </w:tcPr>
          <w:p>
            <w:r>
              <w:rPr>
                <w:b w:val="false"/>
                <w:bCs w:val="false"/>
                <w:color w:val="1A1916"/>
                <w:sz w:val="20"/>
                <w:szCs w:val="20"/>
              </w:rPr>
              <w:t xml:space="preserve">Kit shipped — an AWB / tracking number is added (dispatch can happen on credit, independent of payment).</w:t>
            </w:r>
          </w:p>
        </w:tc>
      </w:tr>
    </w:tbl>
    <w:p>
      <w:pPr>
        <w:spacing w:after="60"/>
      </w:pPr>
      <w:r>
        <w:t xml:space="preserve"/>
      </w:r>
    </w:p>
    <w:p>
      <w:pPr>
        <w:pStyle w:val="Heading2"/>
      </w:pPr>
      <w:r>
        <w:t xml:space="preserve">6.3 Submitting payment for an order</w:t>
      </w:r>
    </w:p>
    <w:p>
      <w:pPr>
        <w:pStyle w:val="ListParagraph"/>
        <w:numPr>
          <w:ilvl w:val="0"/>
          <w:numId w:val="2"/>
        </w:numPr>
        <w:spacing w:after="80" w:line="264"/>
      </w:pPr>
      <w:r>
        <w:t xml:space="preserve">Open the invoiced order.</w:t>
      </w:r>
    </w:p>
    <w:p>
      <w:pPr>
        <w:pStyle w:val="ListParagraph"/>
        <w:numPr>
          <w:ilvl w:val="0"/>
          <w:numId w:val="2"/>
        </w:numPr>
        <w:spacing w:after="80" w:line="264"/>
      </w:pPr>
      <w:r>
        <w:t xml:space="preserve">Choose your payment mode and enter the UTR / transaction reference.</w:t>
      </w:r>
    </w:p>
    <w:p>
      <w:pPr>
        <w:pStyle w:val="ListParagraph"/>
        <w:numPr>
          <w:ilvl w:val="0"/>
          <w:numId w:val="2"/>
        </w:numPr>
        <w:spacing w:after="80" w:line="264"/>
      </w:pPr>
      <w:r>
        <w:t xml:space="preserve">Submit. NLH verifies it and the order moves to Closed.</w:t>
      </w:r>
    </w:p>
    <w:p>
      <w:pPr>
        <w:pBdr>
          <w:top w:val="single" w:color="FDE68A" w:sz="2" w:space="4"/>
          <w:bottom w:val="single" w:color="FDE68A" w:sz="2" w:space="4"/>
          <w:left w:val="single" w:color="D97706" w:sz="18" w:space="8"/>
          <w:right w:val="single" w:color="FDE68A" w:sz="2" w:space="4"/>
        </w:pBdr>
        <w:shd w:fill="FFF8E7" w:val="clear"/>
        <w:spacing w:after="140" w:before="80"/>
      </w:pPr>
      <w:r>
        <w:rPr>
          <w:b/>
          <w:bCs/>
          <w:color w:val="B45309"/>
        </w:rPr>
        <w:t xml:space="preserve">Bank details:  </w:t>
      </w:r>
      <w:r>
        <w:rPr>
          <w:color w:val="7A4A0A"/>
        </w:rPr>
        <w:t xml:space="preserve">IDFC FIRST Bank, Nagpur – Byramji Town Branch  ·  A/c 10278096847  ·  IFSC IDFB0042504  ·  UPI newlearninghorizons@idfcbank</w:t>
      </w:r>
    </w:p>
    <w:p>
      <w:pPr>
        <w:pStyle w:val="Heading1"/>
      </w:pPr>
      <w:r>
        <w:t xml:space="preserve">7. Managing Your Network (SMF &amp; CF)</w:t>
      </w:r>
    </w:p>
    <w:p>
      <w:pPr>
        <w:spacing w:after="120" w:line="276"/>
      </w:pPr>
      <w:r>
        <w:t xml:space="preserve">State Master and City Franchisees can see and oversee the franchisees beneath them.</w:t>
      </w:r>
    </w:p>
    <w:p>
      <w:pPr>
        <w:pStyle w:val="ListParagraph"/>
        <w:numPr>
          <w:ilvl w:val="0"/>
          <w:numId w:val="3"/>
        </w:numPr>
        <w:spacing w:after="60" w:line="264"/>
      </w:pPr>
      <w:r>
        <w:t xml:space="preserve">SMF — view all City and Unit franchisees in your state, their students and their orders.</w:t>
      </w:r>
    </w:p>
    <w:p>
      <w:pPr>
        <w:pStyle w:val="ListParagraph"/>
        <w:numPr>
          <w:ilvl w:val="0"/>
          <w:numId w:val="3"/>
        </w:numPr>
        <w:spacing w:after="60" w:line="264"/>
      </w:pPr>
      <w:r>
        <w:t xml:space="preserve">CF — view the Unit franchisees in your city, their students and orders.</w:t>
      </w:r>
    </w:p>
    <w:p>
      <w:pPr>
        <w:spacing w:after="120" w:line="276"/>
      </w:pPr>
      <w:r>
        <w:t xml:space="preserve">Open the Franchisees page to see your network, their territory, registered courses and status. Use it to monitor activity across your region. Unit Franchisees manage only their own centre and do not see this page.</w:t>
      </w:r>
    </w:p>
    <w:p>
      <w:pPr>
        <w:pBdr>
          <w:top w:val="single" w:color="FDE68A" w:sz="2" w:space="4"/>
          <w:bottom w:val="single" w:color="FDE68A" w:sz="2" w:space="4"/>
          <w:left w:val="single" w:color="D97706" w:sz="18" w:space="8"/>
          <w:right w:val="single" w:color="FDE68A" w:sz="2" w:space="4"/>
        </w:pBdr>
        <w:shd w:fill="FFF8E7" w:val="clear"/>
        <w:spacing w:after="140" w:before="80"/>
      </w:pPr>
      <w:r>
        <w:rPr>
          <w:b/>
          <w:bCs/>
          <w:color w:val="B45309"/>
        </w:rPr>
        <w:t xml:space="preserve">Territory rule:  </w:t>
      </w:r>
      <w:r>
        <w:rPr>
          <w:color w:val="7A4A0A"/>
        </w:rPr>
        <w:t xml:space="preserve">There is one SMF per state and one CF per city; a city can have many Unit Franchisees. Each tier sees only its own and its sub-network’s data.</w:t>
      </w:r>
    </w:p>
    <w:p>
      <w:pPr>
        <w:pStyle w:val="Heading1"/>
      </w:pPr>
      <w:r>
        <w:t xml:space="preserve">8. Certificates &amp; Parent Communication</w:t>
      </w:r>
    </w:p>
    <w:p>
      <w:pPr>
        <w:pStyle w:val="Heading2"/>
      </w:pPr>
      <w:r>
        <w:t xml:space="preserve">8.1 Issuing a certificate</w:t>
      </w:r>
    </w:p>
    <w:p>
      <w:pPr>
        <w:pStyle w:val="ListParagraph"/>
        <w:numPr>
          <w:ilvl w:val="0"/>
          <w:numId w:val="2"/>
        </w:numPr>
        <w:spacing w:after="80" w:line="264"/>
      </w:pPr>
      <w:r>
        <w:t xml:space="preserve">Open the student’s Courses &amp; Batches tab and click 🎓 Cert.</w:t>
      </w:r>
    </w:p>
    <w:p>
      <w:pPr>
        <w:pStyle w:val="ListParagraph"/>
        <w:numPr>
          <w:ilvl w:val="0"/>
          <w:numId w:val="2"/>
        </w:numPr>
        <w:spacing w:after="80" w:line="264"/>
      </w:pPr>
      <w:r>
        <w:t xml:space="preserve">Select the course(s) to include. The certificate shows the student’s name, the courses &amp; levels, the camp name (if set), the centre and the date.</w:t>
      </w:r>
    </w:p>
    <w:p>
      <w:pPr>
        <w:pStyle w:val="ListParagraph"/>
        <w:numPr>
          <w:ilvl w:val="0"/>
          <w:numId w:val="2"/>
        </w:numPr>
        <w:spacing w:after="80" w:line="264"/>
      </w:pPr>
      <w:r>
        <w:t xml:space="preserve">Print / save as PDF, email it to the parent, or send it on WhatsApp.</w:t>
      </w:r>
    </w:p>
    <w:p>
      <w:pPr>
        <w:pStyle w:val="Heading2"/>
      </w:pPr>
      <w:r>
        <w:t xml:space="preserve">8.2 Sending on WhatsApp</w:t>
      </w:r>
    </w:p>
    <w:p>
      <w:pPr>
        <w:spacing w:after="120" w:line="276"/>
      </w:pPr>
      <w:r>
        <w:t xml:space="preserve">When you send a certificate or a review request on WhatsApp, it is sent from the official NLH business number. You can change the recipient number before sending if needed.</w:t>
      </w:r>
    </w:p>
    <w:p>
      <w:pPr>
        <w:pStyle w:val="Heading2"/>
      </w:pPr>
      <w:r>
        <w:t xml:space="preserve">8.3 Google review requests</w:t>
      </w:r>
    </w:p>
    <w:p>
      <w:pPr>
        <w:spacing w:after="120" w:line="276"/>
      </w:pPr>
      <w:r>
        <w:t xml:space="preserve">After a course is marked complete, use the 💬 Review button to send the parent a friendly Google review request — a great way to build your centre’s reputation.</w:t>
      </w:r>
    </w:p>
    <w:p>
      <w:pPr>
        <w:pStyle w:val="Heading1"/>
      </w:pPr>
      <w:r>
        <w:t xml:space="preserve">9. Follow-ups &amp; Reminders</w:t>
      </w:r>
    </w:p>
    <w:p>
      <w:pPr>
        <w:spacing w:after="120" w:line="276"/>
      </w:pPr>
      <w:r>
        <w:t xml:space="preserve">The platform actively flags students who need attention, both inline and in one place on the Dashboard.</w:t>
      </w:r>
    </w:p>
    <w:p>
      <w:pPr>
        <w:pStyle w:val="ListParagraph"/>
        <w:numPr>
          <w:ilvl w:val="0"/>
          <w:numId w:val="3"/>
        </w:numPr>
        <w:spacing w:after="60" w:line="264"/>
      </w:pPr>
      <w:r>
        <w:rPr>
          <w:b/>
          <w:bCs/>
        </w:rPr>
        <w:t xml:space="preserve">⚠ Review (sessions done) </w:t>
      </w:r>
      <w:r>
        <w:t xml:space="preserve">— a session-based course has had all its sessions attended but is not marked complete. Follow up: finish the course and issue the certificate, or check why it is incomplete.</w:t>
      </w:r>
    </w:p>
    <w:p>
      <w:pPr>
        <w:pStyle w:val="ListParagraph"/>
        <w:numPr>
          <w:ilvl w:val="0"/>
          <w:numId w:val="3"/>
        </w:numPr>
        <w:spacing w:after="60" w:line="264"/>
      </w:pPr>
      <w:r>
        <w:rPr>
          <w:b/>
          <w:bCs/>
        </w:rPr>
        <w:t xml:space="preserve">📅 Renew (month ending) </w:t>
      </w:r>
      <w:r>
        <w:t xml:space="preserve">— a monthly course is near month-end. Follow up: collect next month’s fee if the student is continuing.</w:t>
      </w:r>
    </w:p>
    <w:p>
      <w:pPr>
        <w:spacing w:after="120" w:line="276"/>
      </w:pPr>
      <w:r>
        <w:t xml:space="preserve">The Dashboard “Follow-ups” card gathers all of these into a single worklist. Clear it regularly to keep collections and completions on track.</w:t>
      </w:r>
    </w:p>
    <w:p>
      <w:pPr>
        <w:pStyle w:val="Heading1"/>
      </w:pPr>
      <w:r>
        <w:t xml:space="preserve">10. Best Practices</w:t>
      </w:r>
    </w:p>
    <w:p>
      <w:pPr>
        <w:pStyle w:val="ListParagraph"/>
        <w:numPr>
          <w:ilvl w:val="0"/>
          <w:numId w:val="3"/>
        </w:numPr>
        <w:spacing w:after="60" w:line="264"/>
      </w:pPr>
      <w:r>
        <w:t xml:space="preserve">Record every payment the day you receive it — the ledger keeps your balances accurate and your status correct.</w:t>
      </w:r>
    </w:p>
    <w:p>
      <w:pPr>
        <w:pStyle w:val="ListParagraph"/>
        <w:numPr>
          <w:ilvl w:val="0"/>
          <w:numId w:val="3"/>
        </w:numPr>
        <w:spacing w:after="60" w:line="264"/>
      </w:pPr>
      <w:r>
        <w:t xml:space="preserve">Set the correct registration and batch joining dates so attendance and session counts are right from day one.</w:t>
      </w:r>
    </w:p>
    <w:p>
      <w:pPr>
        <w:pStyle w:val="ListParagraph"/>
        <w:numPr>
          <w:ilvl w:val="0"/>
          <w:numId w:val="3"/>
        </w:numPr>
        <w:spacing w:after="60" w:line="264"/>
      </w:pPr>
      <w:r>
        <w:t xml:space="preserve">Mark courses complete promptly and issue certificates — it keeps your Follow-ups list clean and parents happy.</w:t>
      </w:r>
    </w:p>
    <w:p>
      <w:pPr>
        <w:pStyle w:val="ListParagraph"/>
        <w:numPr>
          <w:ilvl w:val="0"/>
          <w:numId w:val="3"/>
        </w:numPr>
        <w:spacing w:after="60" w:line="264"/>
      </w:pPr>
      <w:r>
        <w:t xml:space="preserve">Check the Dashboard Follow-ups card at the start of each week.</w:t>
      </w:r>
    </w:p>
    <w:p>
      <w:pPr>
        <w:pStyle w:val="ListParagraph"/>
        <w:numPr>
          <w:ilvl w:val="0"/>
          <w:numId w:val="3"/>
        </w:numPr>
        <w:spacing w:after="60" w:line="264"/>
      </w:pPr>
      <w:r>
        <w:t xml:space="preserve">Keep parent phone numbers and emails up to date so certificates and reminders reach them.</w:t>
      </w:r>
    </w:p>
    <w:p>
      <w:pPr>
        <w:pStyle w:val="ListParagraph"/>
        <w:numPr>
          <w:ilvl w:val="0"/>
          <w:numId w:val="3"/>
        </w:numPr>
        <w:spacing w:after="60" w:line="264"/>
      </w:pPr>
      <w:r>
        <w:t xml:space="preserve">Place kit orders ahead of demand so students are never waiting for materials.</w:t>
      </w:r>
    </w:p>
    <w:p>
      <w:pPr>
        <w:pStyle w:val="Heading1"/>
      </w:pPr>
      <w:r>
        <w:t xml:space="preserve">11. Support &amp; Contacts</w:t>
      </w:r>
    </w:p>
    <w:p>
      <w:pPr>
        <w:spacing w:after="120" w:line="276"/>
      </w:pPr>
      <w:r>
        <w:t xml:space="preserve">For help with the platform, your account, pricing or orders, contact the NLH head office:</w:t>
      </w:r>
    </w:p>
    <w:tbl>
      <w:tblPr>
        <w:tblW w:type="dxa" w:w="9360"/>
        <w:tblBorders>
          <w:top w:val="single" w:color="D6D0C4" w:sz="1"/>
          <w:left w:val="single" w:color="D6D0C4" w:sz="1"/>
          <w:bottom w:val="single" w:color="D6D0C4" w:sz="1"/>
          <w:right w:val="single" w:color="D6D0C4" w:sz="1"/>
          <w:insideH w:val="single" w:color="D6D0C4" w:sz="1"/>
          <w:insideV w:val="single" w:color="D6D0C4" w:sz="1"/>
        </w:tblBorders>
      </w:tblPr>
      <w:tblGrid>
        <w:gridCol w:w="2200"/>
        <w:gridCol w:w="7160"/>
      </w:tblGrid>
      <w:tr>
        <w:trPr>
          <w:tblHeader/>
        </w:trPr>
        <w:tc>
          <w:tcPr>
            <w:tcW w:type="dxa" w:w="2200"/>
            <w:shd w:fill="534AB7" w:val="clear"/>
            <w:tcMar>
              <w:top w:type="dxa" w:w="90"/>
              <w:left w:type="dxa" w:w="130"/>
              <w:bottom w:type="dxa" w:w="90"/>
              <w:right w:type="dxa" w:w="130"/>
            </w:tcMar>
            <w:vAlign w:val="center"/>
          </w:tcPr>
          <w:p>
            <w:r>
              <w:rPr>
                <w:b/>
                <w:bCs/>
                <w:color w:val="FFFFFF"/>
                <w:sz w:val="19"/>
                <w:szCs w:val="19"/>
              </w:rPr>
              <w:t xml:space="preserve">Contact</w:t>
            </w:r>
          </w:p>
        </w:tc>
        <w:tc>
          <w:tcPr>
            <w:tcW w:type="dxa" w:w="7160"/>
            <w:shd w:fill="534AB7" w:val="clear"/>
            <w:tcMar>
              <w:top w:type="dxa" w:w="90"/>
              <w:left w:type="dxa" w:w="130"/>
              <w:bottom w:type="dxa" w:w="90"/>
              <w:right w:type="dxa" w:w="130"/>
            </w:tcMar>
            <w:vAlign w:val="center"/>
          </w:tcPr>
          <w:p>
            <w:r>
              <w:rPr>
                <w:b/>
                <w:bCs/>
                <w:color w:val="FFFFFF"/>
                <w:sz w:val="19"/>
                <w:szCs w:val="19"/>
              </w:rPr>
              <w:t xml:space="preserve">Detail</w:t>
            </w:r>
          </w:p>
        </w:tc>
      </w:tr>
      <w:tr>
        <w:tc>
          <w:tcPr>
            <w:tcW w:type="dxa" w:w="2200"/>
            <w:shd w:fill="FFFFFF" w:val="clear"/>
            <w:tcMar>
              <w:top w:type="dxa" w:w="90"/>
              <w:left w:type="dxa" w:w="130"/>
              <w:bottom w:type="dxa" w:w="90"/>
              <w:right w:type="dxa" w:w="130"/>
            </w:tcMar>
            <w:vAlign w:val="center"/>
          </w:tcPr>
          <w:p>
            <w:r>
              <w:rPr>
                <w:b w:val="false"/>
                <w:bCs w:val="false"/>
                <w:color w:val="1A1916"/>
                <w:sz w:val="20"/>
                <w:szCs w:val="20"/>
              </w:rPr>
              <w:t xml:space="preserve">Head Office</w:t>
            </w:r>
          </w:p>
        </w:tc>
        <w:tc>
          <w:tcPr>
            <w:tcW w:type="dxa" w:w="7160"/>
            <w:shd w:fill="FFFFFF" w:val="clear"/>
            <w:tcMar>
              <w:top w:type="dxa" w:w="90"/>
              <w:left w:type="dxa" w:w="130"/>
              <w:bottom w:type="dxa" w:w="90"/>
              <w:right w:type="dxa" w:w="130"/>
            </w:tcMar>
            <w:vAlign w:val="center"/>
          </w:tcPr>
          <w:p>
            <w:r>
              <w:rPr>
                <w:b w:val="false"/>
                <w:bCs w:val="false"/>
                <w:color w:val="1A1916"/>
                <w:sz w:val="20"/>
                <w:szCs w:val="20"/>
              </w:rPr>
              <w:t xml:space="preserve">9, Anjuman Shopping Complex, Residency Road, Sadar, Nagpur – 440 001</w:t>
            </w:r>
          </w:p>
        </w:tc>
      </w:tr>
      <w:tr>
        <w:tc>
          <w:tcPr>
            <w:tcW w:type="dxa" w:w="2200"/>
            <w:shd w:fill="FFFFFF" w:val="clear"/>
            <w:tcMar>
              <w:top w:type="dxa" w:w="90"/>
              <w:left w:type="dxa" w:w="130"/>
              <w:bottom w:type="dxa" w:w="90"/>
              <w:right w:type="dxa" w:w="130"/>
            </w:tcMar>
            <w:vAlign w:val="center"/>
          </w:tcPr>
          <w:p>
            <w:r>
              <w:rPr>
                <w:b w:val="false"/>
                <w:bCs w:val="false"/>
                <w:color w:val="1A1916"/>
                <w:sz w:val="20"/>
                <w:szCs w:val="20"/>
              </w:rPr>
              <w:t xml:space="preserve">Phone</w:t>
            </w:r>
          </w:p>
        </w:tc>
        <w:tc>
          <w:tcPr>
            <w:tcW w:type="dxa" w:w="7160"/>
            <w:shd w:fill="FFFFFF" w:val="clear"/>
            <w:tcMar>
              <w:top w:type="dxa" w:w="90"/>
              <w:left w:type="dxa" w:w="130"/>
              <w:bottom w:type="dxa" w:w="90"/>
              <w:right w:type="dxa" w:w="130"/>
            </w:tcMar>
            <w:vAlign w:val="center"/>
          </w:tcPr>
          <w:p>
            <w:r>
              <w:rPr>
                <w:b w:val="false"/>
                <w:bCs w:val="false"/>
                <w:color w:val="1A1916"/>
                <w:sz w:val="20"/>
                <w:szCs w:val="20"/>
              </w:rPr>
              <w:t xml:space="preserve">9373111311</w:t>
            </w:r>
          </w:p>
        </w:tc>
      </w:tr>
      <w:tr>
        <w:tc>
          <w:tcPr>
            <w:tcW w:type="dxa" w:w="2200"/>
            <w:shd w:fill="FFFFFF" w:val="clear"/>
            <w:tcMar>
              <w:top w:type="dxa" w:w="90"/>
              <w:left w:type="dxa" w:w="130"/>
              <w:bottom w:type="dxa" w:w="90"/>
              <w:right w:type="dxa" w:w="130"/>
            </w:tcMar>
            <w:vAlign w:val="center"/>
          </w:tcPr>
          <w:p>
            <w:r>
              <w:rPr>
                <w:b w:val="false"/>
                <w:bCs w:val="false"/>
                <w:color w:val="1A1916"/>
                <w:sz w:val="20"/>
                <w:szCs w:val="20"/>
              </w:rPr>
              <w:t xml:space="preserve">Email</w:t>
            </w:r>
          </w:p>
        </w:tc>
        <w:tc>
          <w:tcPr>
            <w:tcW w:type="dxa" w:w="7160"/>
            <w:shd w:fill="FFFFFF" w:val="clear"/>
            <w:tcMar>
              <w:top w:type="dxa" w:w="90"/>
              <w:left w:type="dxa" w:w="130"/>
              <w:bottom w:type="dxa" w:w="90"/>
              <w:right w:type="dxa" w:w="130"/>
            </w:tcMar>
            <w:vAlign w:val="center"/>
          </w:tcPr>
          <w:p>
            <w:r>
              <w:rPr>
                <w:b w:val="false"/>
                <w:bCs w:val="false"/>
                <w:color w:val="1A1916"/>
                <w:sz w:val="20"/>
                <w:szCs w:val="20"/>
              </w:rPr>
              <w:t xml:space="preserve">admin@nlhnagpur.info</w:t>
            </w:r>
          </w:p>
        </w:tc>
      </w:tr>
      <w:tr>
        <w:tc>
          <w:tcPr>
            <w:tcW w:type="dxa" w:w="2200"/>
            <w:shd w:fill="FFFFFF" w:val="clear"/>
            <w:tcMar>
              <w:top w:type="dxa" w:w="90"/>
              <w:left w:type="dxa" w:w="130"/>
              <w:bottom w:type="dxa" w:w="90"/>
              <w:right w:type="dxa" w:w="130"/>
            </w:tcMar>
            <w:vAlign w:val="center"/>
          </w:tcPr>
          <w:p>
            <w:r>
              <w:rPr>
                <w:b w:val="false"/>
                <w:bCs w:val="false"/>
                <w:color w:val="1A1916"/>
                <w:sz w:val="20"/>
                <w:szCs w:val="20"/>
              </w:rPr>
              <w:t xml:space="preserve">Website</w:t>
            </w:r>
          </w:p>
        </w:tc>
        <w:tc>
          <w:tcPr>
            <w:tcW w:type="dxa" w:w="7160"/>
            <w:shd w:fill="FFFFFF" w:val="clear"/>
            <w:tcMar>
              <w:top w:type="dxa" w:w="90"/>
              <w:left w:type="dxa" w:w="130"/>
              <w:bottom w:type="dxa" w:w="90"/>
              <w:right w:type="dxa" w:w="130"/>
            </w:tcMar>
            <w:vAlign w:val="center"/>
          </w:tcPr>
          <w:p>
            <w:r>
              <w:rPr>
                <w:b w:val="false"/>
                <w:bCs w:val="false"/>
                <w:color w:val="1A1916"/>
                <w:sz w:val="20"/>
                <w:szCs w:val="20"/>
              </w:rPr>
              <w:t xml:space="preserve">www.nlhnagpur.info</w:t>
            </w:r>
          </w:p>
        </w:tc>
      </w:tr>
    </w:tbl>
    <w:p>
      <w:pPr>
        <w:spacing w:after="60"/>
      </w:pPr>
      <w:r>
        <w:t xml:space="preserve"/>
      </w:r>
    </w:p>
    <w:p>
      <w:pPr>
        <w:spacing w:after="120" w:line="276"/>
      </w:pPr>
      <w:r>
        <w:rPr>
          <w:i/>
          <w:iCs/>
          <w:color w:val="534AB7"/>
        </w:rPr>
        <w:t xml:space="preserve">Thank you for being part of the New Learning Horizons family. Together we are enriching children’s futures.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C5A54"/>
        <w:sz w:val="16"/>
        <w:szCs w:val="16"/>
      </w:rPr>
      <w:t xml:space="preserve">NLH Platform Operating Manual  ·  Page </w:t>
    </w:r>
    <w:r>
      <w:rPr>
        <w:color w:val="5C5A5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0EEE9" w:sz="4" w:space="6"/>
      </w:pBdr>
      <w:jc w:val="right"/>
    </w:pPr>
    <w:r>
      <w:rPr>
        <w:color w:val="5C5A54"/>
        <w:sz w:val="16"/>
        <w:szCs w:val="16"/>
      </w:rPr>
      <w:t xml:space="preserve">New Learning Horizons — Platform Operating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91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534AB7" w:sz="6" w:space="4"/>
      </w:pBdr>
      <w:spacing w:after="160" w:before="320"/>
      <w:outlineLvl w:val="0"/>
    </w:pPr>
    <w:rPr>
      <w:rFonts w:ascii="Arial" w:cs="Arial" w:eastAsia="Arial" w:hAnsi="Arial"/>
      <w:b/>
      <w:bCs/>
      <w:color w:val="534AB7"/>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1A1916"/>
      <w:sz w:val="24"/>
      <w:szCs w:val="24"/>
    </w:rPr>
  </w:style>
  <w:style w:type="paragraph" w:styleId="Heading3">
    <w:name w:val="Heading 3"/>
    <w:basedOn w:val="Normal"/>
    <w:next w:val="Normal"/>
    <w:qFormat/>
    <w:pPr>
      <w:spacing w:after="80" w:before="160"/>
      <w:outlineLvl w:val="2"/>
    </w:pPr>
    <w:rPr>
      <w:rFonts w:ascii="Arial" w:cs="Arial" w:eastAsia="Arial" w:hAnsi="Arial"/>
      <w:b/>
      <w:bCs/>
      <w:color w:val="5C5A5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583c0e955e5744167ec4b013db9c050db2099a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NLH Platform Operating Manual</dc:title>
  <dc:creator>New Learning Horizons</dc:creator>
  <cp:lastModifiedBy>Un-named</cp:lastModifiedBy>
  <cp:revision>1</cp:revision>
  <dcterms:created xsi:type="dcterms:W3CDTF">2026-06-01T09:30:21.338Z</dcterms:created>
  <dcterms:modified xsi:type="dcterms:W3CDTF">2026-06-01T09:30:21.339Z</dcterms:modified>
</cp:coreProperties>
</file>

<file path=docProps/custom.xml><?xml version="1.0" encoding="utf-8"?>
<Properties xmlns="http://schemas.openxmlformats.org/officeDocument/2006/custom-properties" xmlns:vt="http://schemas.openxmlformats.org/officeDocument/2006/docPropsVTypes"/>
</file>