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BIO00082H Integrated Masters First Marksheet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Student: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Natasha Hopkins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Marker: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Richard_Maguire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616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901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0"/>
        <w:gridCol w:w="5745"/>
        <w:tblGridChange w:id="0">
          <w:tblGrid>
            <w:gridCol w:w="3270"/>
            <w:gridCol w:w="5745"/>
          </w:tblGrid>
        </w:tblGridChange>
      </w:tblGrid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ind w:lef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was done particularly well?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Some good speculation on other signalling pathways in the discussion. </w:t>
            </w:r>
          </w:p>
          <w:p w:rsidR="00000000" w:rsidDel="00000000" w:rsidP="00000000" w:rsidRDefault="00000000" w:rsidRPr="00000000" w14:paraId="0000000B">
            <w:pPr>
              <w:ind w:left="14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nice narrative maintained through the results section, making them quite clear and easy to understand. </w:t>
            </w:r>
          </w:p>
          <w:p w:rsidR="00000000" w:rsidDel="00000000" w:rsidP="00000000" w:rsidRDefault="00000000" w:rsidRPr="00000000" w14:paraId="0000000D">
            <w:pPr>
              <w:ind w:left="14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8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ind w:lef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could the report and future work be improved?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You need to be quite careful when talking about Wnt and other signalling pathways in other contexts. </w:t>
            </w:r>
          </w:p>
          <w:p w:rsidR="00000000" w:rsidDel="00000000" w:rsidP="00000000" w:rsidRDefault="00000000" w:rsidRPr="00000000" w14:paraId="00000011">
            <w:pPr>
              <w:ind w:left="14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You could emphasise the importance of Wnt in your aims statement a little more - it kind of seems added as an afterthought. </w:t>
            </w:r>
          </w:p>
          <w:p w:rsidR="00000000" w:rsidDel="00000000" w:rsidP="00000000" w:rsidRDefault="00000000" w:rsidRPr="00000000" w14:paraId="00000013">
            <w:pPr>
              <w:ind w:left="14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14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ind w:left="8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ind w:lef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Overall 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ind w:left="8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67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right"/>
      <w:rPr>
        <w:color w:val="999999"/>
        <w:sz w:val="20"/>
        <w:szCs w:val="20"/>
      </w:rPr>
    </w:pPr>
    <w:r w:rsidDel="00000000" w:rsidR="00000000" w:rsidRPr="00000000">
      <w:rPr>
        <w:color w:val="999999"/>
        <w:sz w:val="20"/>
        <w:szCs w:val="20"/>
        <w:rtl w:val="0"/>
      </w:rPr>
      <w:t xml:space="preserve">Research Projects: Marking Criteria Stage 3 Integrated Masters Written Reports – v1.03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