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formulation. We evaluated two formulations of how lineage/chromatin memory enters the model. The INITIAL formulation re-injected intrinsic memory as a strong signal every message-passing round (with a decaying cue and a plasticity term scaling cue influence, and a winner-take-all attractor step) — effectively adding a secondary autoregulation mechanism on top of the pathway prediction. The PREFERRED formulation (Section 3.7) reframes memory as transition RESISTANCE: memory sets the barrier a cue must overcome to leave the current attractor, plasticity LOWERS that barrier (rather than amplifying the cue), and a soft/graded attractor replaces winner-take-all. All of these are independently ablatable so the contribution of each can be measured; leakage controls are identical across formulations.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Reframing intrinsic memory as transition RESISTANCE — the barrier a cue must overcome to leave the current attractor — rather than a re-injected default signal, keeps the model focused on its objective (predicting the pathway program) instead of imposing a secondary autoregulation mechanism. Resistance is computed per cell from lineage-TF, chromatin, and current-program states; plasticity lowers it; the state updates as resistance*current + (1-resistance)*candidate, and a soft (graded) attractor replaces winner-take-all. We compared the two formulations on an expanded 13-program pool (adding T-cell exhaustion as a genuine-generalization stress test), markers included in all arms, identical grouped folds/seeds and leakage controls.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initial re-injection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resistance-gated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0.372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0.177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0.351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+0.085 (p=0.0015)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resistance formulation improves the top-1 metrics the initial formulation only matched (balanced accuracy +0.031, macro-F1 +0.015) at equal-or-better AUPRC, and — the key point — it WIDENS the benefit of regulatory structure: the graph's edge-removed AUPRC advantage grows from +0.085 to +0.130 (more significant), and structure begins to help program recall (which it did not under re-injection). In both formulations the edge-removed model collapses to the logistic-regression level (~0.39), confirming the graph is the lever. Interpretation: scoping memory as inertia (not a re-injected default) lets the regulatory graph contribute more to pathway prediction, consistent with the theory that lineage/chromatin context sets a transition barrier rather than a fixed bias. Caveats: the gains are modest and from a single configuration (plasticity-as-barrier-lowering, soft attractor); the folds are shared so the means are comparable but a formal paired test between formulations is future work; and the 13-program pool adds a cleanly separable program (exhaustion) that raises absolute AUPRC independent of architecture, so the controlled quantities are the within-pool structure benefit and top-1 deltas, not the absolute AUPRC vs the 12-program sections above.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architectural findings shaped the result, and both point to mis-scoped MECHANISM rather than a failure of the graph. First, the winner-take-all attractor saturated probabilities and erased graded temporal signal; a soft (graded) attractor recovered graded temporal emergence on the real EMT course, and an edge-removed control showed the regulatory graph — not the markers — drives it (rho +0.20 with structure vs +0.03 without). Second, reframing intrinsic memory as transition resistance rather than a re-injected default (Section 3.7) improved top-1 metrics and widened the structure benefit. Together these suggest the model's earlier ceilings were partly artifacts of over-strong mechanisms (hard winner-take-all, forced memory re-injection): better biological scoping let the regulatory structure contribute more — on ranking, top-1, and temporally —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