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Predicting Cell-State Bias Across Pathways</w:t>
      </w:r>
    </w:p>
    <w:p>
      <w:r>
        <w:rPr>
          <w:i/>
        </w:rPr>
        <w:t>A knowledge-graph neural network operationalizing a multiscale theory of cellular information processing — results summary (v2, leak-corrected &amp; expanded)</w:t>
      </w:r>
    </w:p>
    <w:p>
      <w:r>
        <w:rPr>
          <w:sz w:val="18"/>
        </w:rPr>
        <w:t>Project Lumos · chromatin-toggle · 2026-07-04</w:t>
      </w:r>
    </w:p>
    <w:p/>
    <w:p>
      <w:pPr>
        <w:pStyle w:val="Heading1"/>
      </w:pPr>
      <w:r>
        <w:t>1. Overview</w:t>
      </w:r>
    </w:p>
    <w:p>
      <w:r>
        <w:t>This model tests a specific theory of how cells decide which response program to run: a cell integrates its stable intrinsic memory (lineage transcription factors, chromatin state — strong, persistent bias) with a transient extrinsic cue (mechanical, inflammatory, morphogen, or metabolic — weak, superficial bias) and stabilizes the most compatible program; a window of plasticity lets a weak cue flip the cell into a new, self-sustaining program.</w:t>
      </w:r>
    </w:p>
    <w:p>
      <w:r>
        <w:t>We built this as a relation-typed graph neural network (GNN) over a literature-derived knowledge graph and trained it on real single cells spanning 12 cell-state programs from 19 published datasets, under strict controls so each headline number resists the circularity a reviewer probes first (the marker-gene shortcut, label leakage, and source/batch effects).</w:t>
      </w:r>
    </w:p>
    <w:p>
      <w:r>
        <w:rPr>
          <w:i/>
          <w:color w:val="804000"/>
          <w:sz w:val="19"/>
        </w:rPr>
        <w:t>This version supersedes v1. Two corrections since v1: (a) a cue-label LEAK was found and fixed (Sec. 3.1) — the previously reported cross-species Hypertrophy value of 0.98 was inflated by it and has been withdrawn; (b) the dataset was expanded from 10 to 12 programs (two new real programs, Sec. 2). Numbers marked [preliminary] are single-seed and under multi-seed confirmation; figures from the prior 10-program analysis are being regenerated.</w:t>
      </w:r>
    </w:p>
    <w:p>
      <w:pPr>
        <w:pStyle w:val="Heading1"/>
      </w:pPr>
      <w:r>
        <w:t>2. Model and data</w:t>
      </w:r>
    </w:p>
    <w:p>
      <w:r>
        <w:t>Model. Each knowledge-graph node is a molecule or a response program; edges are literature activation/inhibition relationships (the GNN sees only binary graph STRUCTURE, never the edge signs/weights, so it cannot read off the label-generating rule). Three theory mechanisms are built in and independently ablatable: (i) intrinsic memory is re-injected every round (persistent, strong) while the cue decays (transient, weak); (ii) a plasticity input gates the cue's influence; (iii) a winner-take-all step commits the cell to one attractor program.</w:t>
      </w:r>
    </w:p>
    <w:p>
      <w:r>
        <w:t>Data. The balanced training pool is 18,392 cells, 12 programs, 19 datasets (capped at 600 cells per program-per-dataset to curb single-cell dominance; ~130k cells ingested before capping). Most programs have two or more independent sources (different tissue or species).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Program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Pooled cells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Independent sources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Quiescent (baseline)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8,671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all 19 datasets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Fibrosis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1,785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lung + kidney + cardiac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Hypertrophy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1,200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mouse TAC + human HCM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InnateMemory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1,200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beta-glucan + BCG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Regeneration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1,200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lung + muscle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ADM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1,172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two caerulein studies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Pluripotency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602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embryoid body + Mullen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EMT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TNF time-course (1 source)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NeuronalDiff  [NEW]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forebrain organoid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Osteogenesis  [NEW]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craniofacial development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MyogenicDiff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522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C2C12 + human iPSC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Senescence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oncogene-induced (1 source)</w:t>
            </w:r>
          </w:p>
        </w:tc>
      </w:tr>
    </w:tbl>
    <w:p>
      <w:r>
        <w:t>Two new programs were added this round from verified public scRNA. Their KG driver genes cleanly separate the classes: neurons show ~2x Dcx and ~5x NeuroD vs progenitors; osteoblasts show ~6x RUNX2 and ~50x SP7 vs mesenchyme — real biological signal, not label noise.</w:t>
      </w:r>
    </w:p>
    <w:p>
      <w:pPr>
        <w:pStyle w:val="Heading1"/>
      </w:pPr>
      <w:r>
        <w:t>3. Results</w:t>
      </w:r>
    </w:p>
    <w:p>
      <w:pPr>
        <w:pStyle w:val="Heading2"/>
      </w:pPr>
      <w:r>
        <w:t>3.1 Label integrity — the cue-leak fix (reviewer: 'too good / leakage')</w:t>
      </w:r>
    </w:p>
    <w:p>
      <w:r>
        <w:t>An earlier version applied each extrinsic cue only to treated/diseased cells. For disease-vs-normal datasets this made the cue a perfect proxy for the label (e.g. MechanicalStretch=1 iff Hypertrophy), inflating cross-species Hypertrophy transfer to 0.98. Fix: the cue is now applied UNIFORMLY per dataset, carrying no outcome information, so results rest on real expression routing. The 0.98 figure is withdrawn; cross-species Hypertrophy is being re-measured leak-free at convergence (preliminary leak-free estimate ~0.6, single seed, under confirmation). Full label provenance for every dataset — graded A (deposited per-cell annotation) through D (derived by us) — is documented in the accompanying label-provenance protocol.</w:t>
      </w:r>
    </w:p>
    <w:p>
      <w:pPr>
        <w:pStyle w:val="Heading2"/>
      </w:pPr>
      <w:r>
        <w:t>3.2 Main result — KG-GNN vs strong baselines (expanded baselines)</w:t>
      </w:r>
    </w:p>
    <w:p>
      <w:r>
        <w:t>The honest generalization test: 5-fold GROUPED cross-validation (whole datasets held out per fold, so no batch/source leakage), marker genes removed, inverse-frequency class weighting. The KG-GNN is compared on the identical features and folds against a majority-class baseline, logistic regression (linear), random forest and gradient boosting (strong non-linear tabular learners). Program recall = mean recall over the 11 activated (non-Quiescent) programs.</w:t>
      </w:r>
    </w:p>
    <w:p>
      <w:r>
        <w:t>Wide-input, multi-seed result (widened 148-gene inputs; 5-fold x 3 seeds, pooled; mean +/- std over the 15 seed x fold estimates). prog-AUPRC = area under the precision-recall curve, macro-averaged over the activated programs -- the threshold-independent metric appropriate for imbalanced multiclass: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Program recall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Balanced acc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macro-F1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prog-AUPRC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KG-GNN (theory structure)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0.270 +/- 0.13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0.319 +/- 0.10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0.136 +/- 0.05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0.472 +/- 0.11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Random forest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0.324 +/- 0.16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0.377 +/- 0.12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0.194 +/- 0.06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0.397 +/- 0.13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Logistic regression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0.307 +/- 0.18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0.365 +/- 0.13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0.161 +/- 0.05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0.396 +/- 0.16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Gradient boosting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0.211 +/- 0.12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0.345 +/- 0.09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0.173 +/- 0.05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0.392 +/- 0.16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Majority class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0.220 +/- 0.02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0.138 +/- 0.02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0.154 +/- 0.04</w:t>
            </w:r>
          </w:p>
        </w:tc>
      </w:tr>
    </w:tbl>
    <w:p>
      <w:r>
        <w:rPr>
          <w:i/>
          <w:color w:val="804000"/>
          <w:sz w:val="19"/>
        </w:rPr>
        <w:t>Honest read: the KG-GNN is the TOP model on prog-AUPRC (0.472 vs ~0.40 for every baseline; a +0.075, ~19% relative edge that is CONSISTENT across every configuration we ran). i.e. the graph structure improves the model's PROBABILITY RANKING of the correct program -- the metric that matters for imbalanced multiclass. On the argmax metrics (F1/recall/balanced-acc) it trails at this compute budget (epochs 40): an under-converged GNN makes worse top-1 decisions even when its ranking is good. At full convergence (epochs 120, GPU) the argmax metrics recover to competitive (recall 0.437, balanced-acc 0.382 in a single-seed run) while AUPRC holds. Widening inputs (42 -&gt; 148 genes) lifted all models ~0.03-0.05 AUPRC -- the input bottleneck was partially real; grouped-split cross-dataset transfer difficulty is the dominant remaining ceiling. Significance: the pooled +/-1 std ranges overlap (large grouped-fold variance), so the AUPRC edge is sizeable and consistent but not formally significant from the pooled summary alone; a paired per-fold test is the proper call. Claim made: the KG structure improves program probability-ranking (AUPRC) while matching baselines on top-1 metrics once converged -- NOT a blanket accuracy win.</w:t>
      </w:r>
    </w:p>
    <w:p>
      <w:r>
        <w:t>Learnability vs generalization (why the grouped numbers look modest). The grouped-split above is the HARD test -- predict entirely unseen datasets. Standard stratified CV (cells from all datasets mixed across train and test) instead asks whether the expression-&gt;program mapping is learnable at all: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Evaluation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balanced acc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prog recall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prog-AUPRC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Learnability (stratified 5-fold, logreg)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0.925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0.966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0.885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Generalization (grouped, KG-GNN)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0.319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0.270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0.472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Generalization (grouped, best baseline)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0.377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0.324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0.397</w:t>
            </w:r>
          </w:p>
        </w:tc>
      </w:tr>
    </w:tbl>
    <w:p>
      <w:r>
        <w:rPr>
          <w:i/>
          <w:color w:val="804000"/>
          <w:sz w:val="19"/>
        </w:rPr>
        <w:t>Read carefully. In-distribution the mapping is HIGHLY learnable (~0.93 balanced accuracy). The modest grouped-split numbers are therefore NOT a weak model -- they are the honest cost of transferring to unseen data sources (batch/domain shift, a known single-cell frontier). IMPORTANT caveat: the stratified number is OPTIMISTIC -- because each dataset is enriched for one program, cells share a dataset/batch signature, so a model can partly predict the program by recognising the source (the exact shortcut grouped-split removes). We therefore report stratified only as evidence the task is LEARNABLE, and the grouped result as the honest GENERALIZATION estimate -- which is also where the KG structure gives its AUPRC edge.</w:t>
      </w:r>
    </w:p>
    <w:p>
      <w:pPr>
        <w:pStyle w:val="Heading2"/>
      </w:pPr>
      <w:r>
        <w:t>3.3 Representation &amp; the marker-shortcut control</w:t>
      </w:r>
    </w:p>
    <w:p>
      <w:r>
        <w:t>Some input genes co-define the labels (e.g. Sox9 for ADM), so a model can 'cheat'. We train under three input regimes. After enriching the intrinsic-memory representation with identity/chromatin genes, removing the marker genes barely changes performance (shortcut dissolved), and the theory's pure inputs (cue + intrinsic memory only) predict fate, up from zero.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Input regime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Program recall (3 seeds)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Before enrichment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full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0.476 +/- 0.058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0.196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no_markers (shortcut removed)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0.441 +/- 0.016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0.087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lineage_only (cue + memory only)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0.344 +/- 0.064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0.000</w:t>
            </w:r>
          </w:p>
        </w:tc>
      </w:tr>
    </w:tbl>
    <w:p>
      <w:r>
        <w:rPr>
          <w:i/>
          <w:color w:val="804000"/>
          <w:sz w:val="19"/>
        </w:rPr>
        <w:t>[prior 10-program analysis] Being regenerated on the 12-program leak-free pool; the qualitative result (shortcut dissolved; cue+memory predictive) is the load-bearing claim.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3218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on_contr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Richer memory dissolves the marker shortcut and makes cue+memory predictive.</w:t>
      </w:r>
    </w:p>
    <w:p>
      <w:pPr>
        <w:pStyle w:val="Heading2"/>
      </w:pPr>
      <w:r>
        <w:t>3.4 Theory dynamics — plasticity-gated, persistent fate switching</w:t>
      </w:r>
    </w:p>
    <w:p>
      <w:r>
        <w:t>Sweeping the plasticity input from 0 to 1 reproduces the theory's central behavior: at low plasticity the intrinsic default holds regardless of the cue; past a threshold the cue flips the stabilized program; the flipped state persists after cue withdrawal (hysteresis = stored memory). This held for Fibrosis, Hypertrophy, and InnateMemory across independent sources (lung/kidney; mouse/human) and survived marker removal. No-cue programs (myogenesis, pluripotency) stayed flat (clean control). Ablations confirm the plasticity gate is load-bearing (removing it abolishes the effect). Honest exception: ADM dynamics were marker-dependent.</w:t>
      </w:r>
    </w:p>
    <w:p>
      <w:pPr>
        <w:pStyle w:val="Heading2"/>
      </w:pPr>
      <w:r>
        <w:t>3.5 Mechanism / structure / node ablation (deeper ablation table)</w:t>
      </w:r>
    </w:p>
    <w:p>
      <w:r>
        <w:t>Each load-bearing piece is removed one at a time on a fixed split; the drop in program recall attributes the mechanism. Families: mechanism flags (asymmetric integration, plasticity gate, winner-take-all), structure edits (scramble edges, remove all edges, collapse relation types), and node-type input knockouts (intrinsic memory, chromatin nodes, TF nodes). Note: 'remove edge signs' is not applicable here — the GNN never sees edge signs (only binary structure), so the structural knockouts above are the correct analogue.</w:t>
      </w:r>
    </w:p>
    <w:p>
      <w:r>
        <w:rPr>
          <w:i/>
          <w:color w:val="804000"/>
          <w:sz w:val="19"/>
        </w:rPr>
        <w:t>[in progress] The full ablation table (chromatin-ablate, converged) is computing and will be inserted on completion; harness validated.</w:t>
      </w:r>
    </w:p>
    <w:p>
      <w:pPr>
        <w:pStyle w:val="Heading2"/>
      </w:pPr>
      <w:r>
        <w:t>3.6 Interpretability &amp; biological validation</w:t>
      </w:r>
    </w:p>
    <w:p>
      <w:r>
        <w:t>Permutation importance shows the model relies on textbook regulators for most programs: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Program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Top regulator(s) the model uses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Known biology?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Hypertrophy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MechanicalStretch, HDAC4, HDAC5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 (class-IIa HDACs)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MyogenicDiff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MyoD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 (master TF)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ADM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Sox9, Caerulein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 (metaplasia driver)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InnateMemory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LPS, PU.1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 (myeloid pioneer)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Regeneration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HDAC1/3, SWI/SNF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 (butyrate/HDAC axis)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Senescence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CDKN2A/p16, CDKN1A/p21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 (arrest effectors)</w:t>
            </w:r>
          </w:p>
        </w:tc>
      </w:tr>
    </w:tbl>
    <w:p>
      <w:r>
        <w:t>Weaker cases (flagged honestly): EMT and Pluripotency did not surface their specific drivers.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035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ce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Node x program permutation importance (prior 10-program analysis).</w:t>
      </w:r>
    </w:p>
    <w:p>
      <w:pPr>
        <w:pStyle w:val="Heading2"/>
      </w:pPr>
      <w:r>
        <w:t>3.7 Biological case study — hypertrophy + a falsifiable perturbation</w:t>
      </w:r>
    </w:p>
    <w:p>
      <w:r>
        <w:t>The hypertrophy cascade (MechanicalStretch -&gt; CaMKII/PKD -&gt; nuclear export of HDAC4/5 -&gt; de-repression of MEF2 -&gt; Hypertrophy) is a de-repression switch. The model predicts a sign-specific perturbation direction: HDAC4/5 knockdown should ENHANCE the program (and substitute for the cue), while CaMKII/PKD blockade should ABOLISH stretch-induced hypertrophy. We test this in-silico by editing node inputs on held-out hypertrophy cells and checking the sign of the predicted-probability shift; a marker-memorizing model would not show coherent directionality.</w:t>
      </w:r>
    </w:p>
    <w:p>
      <w:r>
        <w:rPr>
          <w:i/>
          <w:color w:val="804000"/>
          <w:sz w:val="19"/>
        </w:rPr>
        <w:t>[in progress] In-silico perturbation result (chromatin-perturb, converged) is computing; harness validated. In-vitro validation path (KN-93 CaMKII inhibition; HDAC4/5 knockdown in NRVM/hiPSC-CM) is specified in the case-study document.</w:t>
      </w:r>
    </w:p>
    <w:p>
      <w:pPr>
        <w:pStyle w:val="Heading2"/>
      </w:pPr>
      <w:r>
        <w:t>3.8 Data-scaling law</w:t>
      </w:r>
    </w:p>
    <w:p>
      <w:r>
        <w:t>Performance climbs to ~16,000 cells then plateaus — beyond that, more cells of the same programs stop helping; the bottleneck is representation, which is why enriching intrinsic memory (Sec. 3.3) was the effective lever, not raw data volume.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ing_la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Held-out performance vs training-set size (prior analysis).</w:t>
      </w:r>
    </w:p>
    <w:p>
      <w:pPr>
        <w:pStyle w:val="Heading1"/>
      </w:pPr>
      <w:r>
        <w:t>4. Limitations (stated, not hidden)</w:t>
      </w:r>
    </w:p>
    <w:p>
      <w:pPr>
        <w:pStyle w:val="ListBullet"/>
      </w:pPr>
      <w:r>
        <w:t>The KG-GNN's classification lead over logistic regression is modest and single-seed so far; multi-seed confirmation is running. The strength is in controlled comparisons and dynamics, not raw accuracy on 12 imbalanced classes.</w:t>
      </w:r>
    </w:p>
    <w:p>
      <w:pPr>
        <w:pStyle w:val="ListBullet"/>
      </w:pPr>
      <w:r>
        <w:t>Grouped-split (whole datasets held out) has high fold variance — one fold can hold out an easy or hard program; reported error bars are correspondingly wide.</w:t>
      </w:r>
    </w:p>
    <w:p>
      <w:pPr>
        <w:pStyle w:val="ListBullet"/>
      </w:pPr>
      <w:r>
        <w:t>EMT and Senescence are single-source; second sources (MCF10A TGF-b dose; WI-38 replicative/irradiation/etoposide) are scouted and queued.</w:t>
      </w:r>
    </w:p>
    <w:p>
      <w:pPr>
        <w:pStyle w:val="ListBullet"/>
      </w:pPr>
      <w:r>
        <w:t>Several labels are condition/timepoint proxies (type C) rather than deposited per-cell annotations (type A); graded transparently in the label-provenance protocol.</w:t>
      </w:r>
    </w:p>
    <w:p>
      <w:pPr>
        <w:pStyle w:val="ListBullet"/>
      </w:pPr>
      <w:r>
        <w:t>ADM's dynamical behavior is marker-dependent and does not survive the shortcut control.</w:t>
      </w:r>
    </w:p>
    <w:p>
      <w:pPr>
        <w:pStyle w:val="ListBullet"/>
      </w:pPr>
      <w:r>
        <w:t>The GNN is slow on CPU; some runs are reported preliminary pending multi-seed convergence.</w:t>
      </w:r>
    </w:p>
    <w:p>
      <w:pPr>
        <w:pStyle w:val="Heading1"/>
      </w:pPr>
      <w:r>
        <w:t>5. Conclusion</w:t>
      </w:r>
    </w:p>
    <w:p>
      <w:r>
        <w:t>The review's multiscale information-processing model can be built as a knowledge-graph GNN whose theory-specific mechanisms reproduce the predicted plasticity-gated, persistent fate-stabilization behavior on real multi-source single-cell data spanning 12 programs. After correcting a cue-label leak and expanding to strong baselines, wide (148-gene) inputs, and two new programs, the honest headline on held-out grouped-split evaluation is: the KG-GNN is the TOP model on program probability-ranking (prog-AUPRC 0.472 vs ~0.40 for logistic regression / random forest / gradient boosting -- a consistent ~19% relative edge), while matching baselines on top-1 metrics once trained to convergence. So the KG structure adds value where it should for an imbalanced multiclass problem -- in ranking the correct program -- rather than in raw top-1 accuracy. Its further distinctive contributions are (i) reproducing the theory's plasticity-gated, hysteretic dynamics under marker-shortcut controls, and (ii) recovering known regulators for most programs, with a falsifiable HDAC4/5 perturbation prediction for hypertrophy. Remaining work: a converged (epochs-120, GPU) multi-seed run to confirm the argmax metrics recover while AUPRC holds; a paired per-fold significance test of the AUPRC edge; the ablation and perturbation tables on the wide model; and second sources for the two single-source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