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Nodes are molecules, chromatin features, or response programs; edges are literature activation/inhibition relations. The GNN sees only the binary graph STRUCTURE (edge signs and weights are never exposed), a cell's measured gene activity injected onto the corresponding nodes, and it reads out a program via message passing. Three theory mechanisms are built in and independently ablatable: (i) intrinsic memory is re-injected every message-passing round (persistent, strong) while the cue decays (transient, weak); (ii) a plasticity input scales the cue's influence; (iii) a winner-take-all step sharpens toward one attractor program. A hybrid residual (a linear map from the raw node vector to the class logits) guarantees the model is at least as expressive as a linear classifier. Message passing is vectorized over relations for efficiency.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The theory's temporal-integration prediction is the clearest negative: in simulation the plasticity-gated, hysteretic behavior emerges by construction, but on a real EMT time-course the structured model shows no graded temporal advantage over a linear model, and the attractor mechanism is not the cause. This tempers claims that the model's dynamics capture real temporal commitment, and marks a target for future architectures (e.g. explicit trajectory supervision).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