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Predicting Cell-State Bias Across Pathways</w:t>
      </w:r>
    </w:p>
    <w:p>
      <w:r>
        <w:rPr>
          <w:i/>
        </w:rPr>
        <w:t>A knowledge-graph neural network that operationalizes a multiscale theory of cellular information processing — results summary</w:t>
      </w:r>
    </w:p>
    <w:p>
      <w:r>
        <w:rPr>
          <w:sz w:val="18"/>
        </w:rPr>
        <w:t>Project Lumos · chromatin-toggle · 2026-07-04</w:t>
      </w:r>
    </w:p>
    <w:p/>
    <w:p>
      <w:pPr>
        <w:pStyle w:val="Heading1"/>
      </w:pPr>
      <w:r>
        <w:t>1. Overview</w:t>
      </w:r>
    </w:p>
    <w:p>
      <w:r>
        <w:t>This model tests a specific theory of how cells decide which response program to run. The theory: a cell integrates its stable intrinsic memory (lineage transcription factors, chromatin state — strong, persistent bias) with a transient extrinsic cue (a mechanical, inflammatory, morphogen, or metabolic signal — weak, superficial bias) and stabilizes the program most compatible with current conditions; a window of plasticity lets a weak cue flip the cell into a new, self-sustaining program.</w:t>
      </w:r>
    </w:p>
    <w:p>
      <w:r>
        <w:t>We built this as a relation-typed graph neural network (GNN) over a literature-derived knowledge graph, trained it on 44,089 real single cells spanning 10 cell-state programs from 17 published datasets, and evaluated it under strict controls so that every headline number resists the circularity a reviewer would probe first (the 'marker-gene shortcut').</w:t>
      </w:r>
    </w:p>
    <w:p>
      <w:pPr>
        <w:pStyle w:val="Heading1"/>
      </w:pPr>
      <w:r>
        <w:t>2. Model and data</w:t>
      </w:r>
    </w:p>
    <w:p>
      <w:r>
        <w:t>Model. Each node of the knowledge graph is a molecule or a response program; edges are literature activation/inhibition relationships. The GNN injects a cell's measured gene activity onto the nodes and runs several rounds of message passing over the graph, then reads out which program node wins. Three theory mechanisms are built in and independently ablatable: (i) intrinsic memory is re-injected every round (persistent, strong) while the cue decays (transient, weak); (ii) a plasticity input gates how much the cue can influence the outcome; (iii) a winner-take-all step commits the cell to one attractor program.</w:t>
      </w:r>
    </w:p>
    <w:p>
      <w:r>
        <w:t>Data. 44,089 cells, 10 programs, 17 datasets; most programs have two independent sources (different tissue or species), so results are not artifacts of a single experiment.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sz w:val="20"/>
              </w:rPr>
              <w:t>Program</w:t>
            </w:r>
          </w:p>
        </w:tc>
        <w:tc>
          <w:tcPr>
            <w:tcW w:type="dxa" w:w="2880"/>
          </w:tcPr>
          <w:p>
            <w:r/>
            <w:r>
              <w:rPr>
                <w:b/>
                <w:sz w:val="20"/>
              </w:rPr>
              <w:t>Cells</w:t>
            </w:r>
          </w:p>
        </w:tc>
        <w:tc>
          <w:tcPr>
            <w:tcW w:type="dxa" w:w="2880"/>
          </w:tcPr>
          <w:p>
            <w:r/>
            <w:r>
              <w:rPr>
                <w:b/>
                <w:sz w:val="20"/>
              </w:rPr>
              <w:t>Independent sources</w:t>
            </w:r>
          </w:p>
        </w:tc>
      </w:tr>
      <w:tr>
        <w:tc>
          <w:tcPr>
            <w:tcW w:type="dxa" w:w="2880"/>
          </w:tcPr>
          <w:p>
            <w:r/>
            <w:r>
              <w:rPr>
                <w:sz w:val="20"/>
              </w:rPr>
              <w:t>Quiescent (baseline)</w:t>
            </w:r>
          </w:p>
        </w:tc>
        <w:tc>
          <w:tcPr>
            <w:tcW w:type="dxa" w:w="2880"/>
          </w:tcPr>
          <w:p>
            <w:r/>
            <w:r>
              <w:rPr>
                <w:sz w:val="20"/>
              </w:rPr>
              <w:t>19,767</w:t>
            </w:r>
          </w:p>
        </w:tc>
        <w:tc>
          <w:tcPr>
            <w:tcW w:type="dxa" w:w="2880"/>
          </w:tcPr>
          <w:p>
            <w:r/>
            <w:r>
              <w:rPr>
                <w:sz w:val="20"/>
              </w:rPr>
              <w:t>all 17 datasets</w:t>
            </w:r>
          </w:p>
        </w:tc>
      </w:tr>
      <w:tr>
        <w:tc>
          <w:tcPr>
            <w:tcW w:type="dxa" w:w="2880"/>
          </w:tcPr>
          <w:p>
            <w:r/>
            <w:r>
              <w:rPr>
                <w:sz w:val="20"/>
              </w:rPr>
              <w:t>Fibrosis</w:t>
            </w:r>
          </w:p>
        </w:tc>
        <w:tc>
          <w:tcPr>
            <w:tcW w:type="dxa" w:w="2880"/>
          </w:tcPr>
          <w:p>
            <w:r/>
            <w:r>
              <w:rPr>
                <w:sz w:val="20"/>
              </w:rPr>
              <w:t>5,744</w:t>
            </w:r>
          </w:p>
        </w:tc>
        <w:tc>
          <w:tcPr>
            <w:tcW w:type="dxa" w:w="2880"/>
          </w:tcPr>
          <w:p>
            <w:r/>
            <w:r>
              <w:rPr>
                <w:sz w:val="20"/>
              </w:rPr>
              <w:t>lung + kidney + cardiac</w:t>
            </w:r>
          </w:p>
        </w:tc>
      </w:tr>
      <w:tr>
        <w:tc>
          <w:tcPr>
            <w:tcW w:type="dxa" w:w="2880"/>
          </w:tcPr>
          <w:p>
            <w:r/>
            <w:r>
              <w:rPr>
                <w:sz w:val="20"/>
              </w:rPr>
              <w:t>Hypertrophy</w:t>
            </w:r>
          </w:p>
        </w:tc>
        <w:tc>
          <w:tcPr>
            <w:tcW w:type="dxa" w:w="2880"/>
          </w:tcPr>
          <w:p>
            <w:r/>
            <w:r>
              <w:rPr>
                <w:sz w:val="20"/>
              </w:rPr>
              <w:t>4,158</w:t>
            </w:r>
          </w:p>
        </w:tc>
        <w:tc>
          <w:tcPr>
            <w:tcW w:type="dxa" w:w="2880"/>
          </w:tcPr>
          <w:p>
            <w:r/>
            <w:r>
              <w:rPr>
                <w:sz w:val="20"/>
              </w:rPr>
              <w:t>mouse TAC + human HCM</w:t>
            </w:r>
          </w:p>
        </w:tc>
      </w:tr>
      <w:tr>
        <w:tc>
          <w:tcPr>
            <w:tcW w:type="dxa" w:w="2880"/>
          </w:tcPr>
          <w:p>
            <w:r/>
            <w:r>
              <w:rPr>
                <w:sz w:val="20"/>
              </w:rPr>
              <w:t>ADM</w:t>
            </w:r>
          </w:p>
        </w:tc>
        <w:tc>
          <w:tcPr>
            <w:tcW w:type="dxa" w:w="2880"/>
          </w:tcPr>
          <w:p>
            <w:r/>
            <w:r>
              <w:rPr>
                <w:sz w:val="20"/>
              </w:rPr>
              <w:t>3,572</w:t>
            </w:r>
          </w:p>
        </w:tc>
        <w:tc>
          <w:tcPr>
            <w:tcW w:type="dxa" w:w="2880"/>
          </w:tcPr>
          <w:p>
            <w:r/>
            <w:r>
              <w:rPr>
                <w:sz w:val="20"/>
              </w:rPr>
              <w:t>two caerulein studies</w:t>
            </w:r>
          </w:p>
        </w:tc>
      </w:tr>
      <w:tr>
        <w:tc>
          <w:tcPr>
            <w:tcW w:type="dxa" w:w="2880"/>
          </w:tcPr>
          <w:p>
            <w:r/>
            <w:r>
              <w:rPr>
                <w:sz w:val="20"/>
              </w:rPr>
              <w:t>Regeneration</w:t>
            </w:r>
          </w:p>
        </w:tc>
        <w:tc>
          <w:tcPr>
            <w:tcW w:type="dxa" w:w="2880"/>
          </w:tcPr>
          <w:p>
            <w:r/>
            <w:r>
              <w:rPr>
                <w:sz w:val="20"/>
              </w:rPr>
              <w:t>3,205</w:t>
            </w:r>
          </w:p>
        </w:tc>
        <w:tc>
          <w:tcPr>
            <w:tcW w:type="dxa" w:w="2880"/>
          </w:tcPr>
          <w:p>
            <w:r/>
            <w:r>
              <w:rPr>
                <w:sz w:val="20"/>
              </w:rPr>
              <w:t>lung + muscle</w:t>
            </w:r>
          </w:p>
        </w:tc>
      </w:tr>
      <w:tr>
        <w:tc>
          <w:tcPr>
            <w:tcW w:type="dxa" w:w="2880"/>
          </w:tcPr>
          <w:p>
            <w:r/>
            <w:r>
              <w:rPr>
                <w:sz w:val="20"/>
              </w:rPr>
              <w:t>InnateMemory</w:t>
            </w:r>
          </w:p>
        </w:tc>
        <w:tc>
          <w:tcPr>
            <w:tcW w:type="dxa" w:w="2880"/>
          </w:tcPr>
          <w:p>
            <w:r/>
            <w:r>
              <w:rPr>
                <w:sz w:val="20"/>
              </w:rPr>
              <w:t>3,087</w:t>
            </w:r>
          </w:p>
        </w:tc>
        <w:tc>
          <w:tcPr>
            <w:tcW w:type="dxa" w:w="2880"/>
          </w:tcPr>
          <w:p>
            <w:r/>
            <w:r>
              <w:rPr>
                <w:sz w:val="20"/>
              </w:rPr>
              <w:t>beta-glucan + BCG</w:t>
            </w:r>
          </w:p>
        </w:tc>
      </w:tr>
      <w:tr>
        <w:tc>
          <w:tcPr>
            <w:tcW w:type="dxa" w:w="2880"/>
          </w:tcPr>
          <w:p>
            <w:r/>
            <w:r>
              <w:rPr>
                <w:sz w:val="20"/>
              </w:rPr>
              <w:t>EMT</w:t>
            </w:r>
          </w:p>
        </w:tc>
        <w:tc>
          <w:tcPr>
            <w:tcW w:type="dxa" w:w="2880"/>
          </w:tcPr>
          <w:p>
            <w:r/>
            <w:r>
              <w:rPr>
                <w:sz w:val="20"/>
              </w:rPr>
              <w:t>3,000</w:t>
            </w:r>
          </w:p>
        </w:tc>
        <w:tc>
          <w:tcPr>
            <w:tcW w:type="dxa" w:w="2880"/>
          </w:tcPr>
          <w:p>
            <w:r/>
            <w:r>
              <w:rPr>
                <w:sz w:val="20"/>
              </w:rPr>
              <w:t>TNF time-course</w:t>
            </w:r>
          </w:p>
        </w:tc>
      </w:tr>
      <w:tr>
        <w:tc>
          <w:tcPr>
            <w:tcW w:type="dxa" w:w="2880"/>
          </w:tcPr>
          <w:p>
            <w:r/>
            <w:r>
              <w:rPr>
                <w:sz w:val="20"/>
              </w:rPr>
              <w:t>Pluripotency</w:t>
            </w:r>
          </w:p>
        </w:tc>
        <w:tc>
          <w:tcPr>
            <w:tcW w:type="dxa" w:w="2880"/>
          </w:tcPr>
          <w:p>
            <w:r/>
            <w:r>
              <w:rPr>
                <w:sz w:val="20"/>
              </w:rPr>
              <w:t>794</w:t>
            </w:r>
          </w:p>
        </w:tc>
        <w:tc>
          <w:tcPr>
            <w:tcW w:type="dxa" w:w="2880"/>
          </w:tcPr>
          <w:p>
            <w:r/>
            <w:r>
              <w:rPr>
                <w:sz w:val="20"/>
              </w:rPr>
              <w:t>embryoid body + Mullen</w:t>
            </w:r>
          </w:p>
        </w:tc>
      </w:tr>
      <w:tr>
        <w:tc>
          <w:tcPr>
            <w:tcW w:type="dxa" w:w="2880"/>
          </w:tcPr>
          <w:p>
            <w:r/>
            <w:r>
              <w:rPr>
                <w:sz w:val="20"/>
              </w:rPr>
              <w:t>MyogenicDiff</w:t>
            </w:r>
          </w:p>
        </w:tc>
        <w:tc>
          <w:tcPr>
            <w:tcW w:type="dxa" w:w="2880"/>
          </w:tcPr>
          <w:p>
            <w:r/>
            <w:r>
              <w:rPr>
                <w:sz w:val="20"/>
              </w:rPr>
              <w:t>522</w:t>
            </w:r>
          </w:p>
        </w:tc>
        <w:tc>
          <w:tcPr>
            <w:tcW w:type="dxa" w:w="2880"/>
          </w:tcPr>
          <w:p>
            <w:r/>
            <w:r>
              <w:rPr>
                <w:sz w:val="20"/>
              </w:rPr>
              <w:t>C2C12 + human iPSC</w:t>
            </w:r>
          </w:p>
        </w:tc>
      </w:tr>
      <w:tr>
        <w:tc>
          <w:tcPr>
            <w:tcW w:type="dxa" w:w="2880"/>
          </w:tcPr>
          <w:p>
            <w:r/>
            <w:r>
              <w:rPr>
                <w:sz w:val="20"/>
              </w:rPr>
              <w:t>Senescence</w:t>
            </w:r>
          </w:p>
        </w:tc>
        <w:tc>
          <w:tcPr>
            <w:tcW w:type="dxa" w:w="2880"/>
          </w:tcPr>
          <w:p>
            <w:r/>
            <w:r>
              <w:rPr>
                <w:sz w:val="20"/>
              </w:rPr>
              <w:t>240</w:t>
            </w:r>
          </w:p>
        </w:tc>
        <w:tc>
          <w:tcPr>
            <w:tcW w:type="dxa" w:w="2880"/>
          </w:tcPr>
          <w:p>
            <w:r/>
            <w:r>
              <w:rPr>
                <w:sz w:val="20"/>
              </w:rPr>
              <w:t>oncogene-induced</w:t>
            </w:r>
          </w:p>
        </w:tc>
      </w:tr>
    </w:tbl>
    <w:p/>
    <w:p>
      <w:pPr>
        <w:pStyle w:val="Heading1"/>
      </w:pPr>
      <w:r>
        <w:t>3. Results</w:t>
      </w:r>
    </w:p>
    <w:p>
      <w:pPr>
        <w:pStyle w:val="Heading2"/>
      </w:pPr>
      <w:r>
        <w:t>3.1 Main result — the model predicts meaningful cell states</w:t>
      </w:r>
    </w:p>
    <w:p>
      <w:r>
        <w:t>Held-out confusion matrix over the 10 programs, marker-controlled (label-defining 'marker' genes removed from the inputs) using the reported model configuration (hidden width 64, inverse-frequency class weighting). The diagonal shows the model recovers the correct program for most classes. Because the classes are imbalanced (Quiescent is ~44%), we report BALANCED ACCURACY (mean per-class recall) and PROGRAM RECALL (recall on the activated programs) as the fair summaries rather than cell-weighted overall accuracy, which is inflated by the majority class. See Section 3.7 for the cross-validated values.</w:t>
      </w:r>
    </w:p>
    <w:p>
      <w:pPr>
        <w:jc w:val="center"/>
      </w:pPr>
      <w:r>
        <w:drawing>
          <wp:inline xmlns:a="http://schemas.openxmlformats.org/drawingml/2006/main" xmlns:pic="http://schemas.openxmlformats.org/drawingml/2006/picture">
            <wp:extent cx="4754880" cy="4075611"/>
            <wp:docPr id="1" name="Picture 1"/>
            <wp:cNvGraphicFramePr>
              <a:graphicFrameLocks noChangeAspect="1"/>
            </wp:cNvGraphicFramePr>
            <a:graphic>
              <a:graphicData uri="http://schemas.openxmlformats.org/drawingml/2006/picture">
                <pic:pic>
                  <pic:nvPicPr>
                    <pic:cNvPr id="0" name="main_result_confusion.png"/>
                    <pic:cNvPicPr/>
                  </pic:nvPicPr>
                  <pic:blipFill>
                    <a:blip r:embed="rId9"/>
                    <a:stretch>
                      <a:fillRect/>
                    </a:stretch>
                  </pic:blipFill>
                  <pic:spPr>
                    <a:xfrm>
                      <a:off x="0" y="0"/>
                      <a:ext cx="4754880" cy="4075611"/>
                    </a:xfrm>
                    <a:prstGeom prst="rect"/>
                  </pic:spPr>
                </pic:pic>
              </a:graphicData>
            </a:graphic>
          </wp:inline>
        </w:drawing>
      </w:r>
    </w:p>
    <w:p>
      <w:pPr>
        <w:jc w:val="center"/>
      </w:pPr>
      <w:r>
        <w:rPr>
          <w:i/>
          <w:sz w:val="18"/>
        </w:rPr>
        <w:t>Figure 1. Held-out confusion matrix (row-normalized), marker-controlled.</w:t>
      </w:r>
    </w:p>
    <w:p>
      <w:r>
        <w:br w:type="page"/>
      </w:r>
    </w:p>
    <w:p>
      <w:pPr>
        <w:pStyle w:val="Heading2"/>
      </w:pPr>
      <w:r>
        <w:t>3.2 Baseline comparison — pathway structure beats simpler models</w:t>
      </w:r>
    </w:p>
    <w:p>
      <w:r>
        <w:t>Cross-species test: train on mouse (and other pathways), hold out the human hypertrophy dataset, and predict it. The knowledge-graph model (KG-GNN) is compared against a shuffled-KG control (same model, wiring scrambled = 'random structure') and a bag-of-genes MLP ('gene-level reduction'). Activated recall = fraction of the held-out program's cells correctly identified. Means over 3 seeds; marker-controlled.</w:t>
      </w:r>
    </w:p>
    <w:tbl>
      <w:tblPr>
        <w:tblStyle w:val="LightGrid-Accent1"/>
        <w:tblW w:type="auto" w:w="0"/>
        <w:tblLook w:firstColumn="1" w:firstRow="1" w:lastColumn="0" w:lastRow="0" w:noHBand="0" w:noVBand="1" w:val="04A0"/>
      </w:tblPr>
      <w:tblGrid>
        <w:gridCol w:w="4320"/>
        <w:gridCol w:w="4320"/>
      </w:tblGrid>
      <w:tr>
        <w:tc>
          <w:tcPr>
            <w:tcW w:type="dxa" w:w="4320"/>
          </w:tcPr>
          <w:p>
            <w:r/>
            <w:r>
              <w:rPr>
                <w:b/>
                <w:sz w:val="20"/>
              </w:rPr>
              <w:t>Model</w:t>
            </w:r>
          </w:p>
        </w:tc>
        <w:tc>
          <w:tcPr>
            <w:tcW w:type="dxa" w:w="4320"/>
          </w:tcPr>
          <w:p>
            <w:r/>
            <w:r>
              <w:rPr>
                <w:b/>
                <w:sz w:val="20"/>
              </w:rPr>
              <w:t>Cross-species Hypertrophy recall</w:t>
            </w:r>
          </w:p>
        </w:tc>
      </w:tr>
      <w:tr>
        <w:tc>
          <w:tcPr>
            <w:tcW w:type="dxa" w:w="4320"/>
          </w:tcPr>
          <w:p>
            <w:r/>
            <w:r>
              <w:rPr>
                <w:sz w:val="20"/>
              </w:rPr>
              <w:t>KG-GNN (pathway structure)</w:t>
            </w:r>
          </w:p>
        </w:tc>
        <w:tc>
          <w:tcPr>
            <w:tcW w:type="dxa" w:w="4320"/>
          </w:tcPr>
          <w:p>
            <w:r/>
            <w:r>
              <w:rPr>
                <w:sz w:val="20"/>
              </w:rPr>
              <w:t>0.977 +/- 0.009</w:t>
            </w:r>
          </w:p>
        </w:tc>
      </w:tr>
      <w:tr>
        <w:tc>
          <w:tcPr>
            <w:tcW w:type="dxa" w:w="4320"/>
          </w:tcPr>
          <w:p>
            <w:r/>
            <w:r>
              <w:rPr>
                <w:sz w:val="20"/>
              </w:rPr>
              <w:t>Shuffled-KG (random structure)</w:t>
            </w:r>
          </w:p>
        </w:tc>
        <w:tc>
          <w:tcPr>
            <w:tcW w:type="dxa" w:w="4320"/>
          </w:tcPr>
          <w:p>
            <w:r/>
            <w:r>
              <w:rPr>
                <w:sz w:val="20"/>
              </w:rPr>
              <w:t>0.007 +/- 0.009</w:t>
            </w:r>
          </w:p>
        </w:tc>
      </w:tr>
      <w:tr>
        <w:tc>
          <w:tcPr>
            <w:tcW w:type="dxa" w:w="4320"/>
          </w:tcPr>
          <w:p>
            <w:r/>
            <w:r>
              <w:rPr>
                <w:sz w:val="20"/>
              </w:rPr>
              <w:t>Bag-of-genes MLP (gene-level)</w:t>
            </w:r>
          </w:p>
        </w:tc>
        <w:tc>
          <w:tcPr>
            <w:tcW w:type="dxa" w:w="4320"/>
          </w:tcPr>
          <w:p>
            <w:r/>
            <w:r>
              <w:rPr>
                <w:sz w:val="20"/>
              </w:rPr>
              <w:t>0.057 +/- 0.037</w:t>
            </w:r>
          </w:p>
        </w:tc>
      </w:tr>
    </w:tbl>
    <w:p>
      <w:pPr>
        <w:jc w:val="center"/>
      </w:pPr>
      <w:r>
        <w:drawing>
          <wp:inline xmlns:a="http://schemas.openxmlformats.org/drawingml/2006/main" xmlns:pic="http://schemas.openxmlformats.org/drawingml/2006/picture">
            <wp:extent cx="4023360" cy="3218688"/>
            <wp:docPr id="2" name="Picture 2"/>
            <wp:cNvGraphicFramePr>
              <a:graphicFrameLocks noChangeAspect="1"/>
            </wp:cNvGraphicFramePr>
            <a:graphic>
              <a:graphicData uri="http://schemas.openxmlformats.org/drawingml/2006/picture">
                <pic:pic>
                  <pic:nvPicPr>
                    <pic:cNvPr id="0" name="baseline_comparison.png"/>
                    <pic:cNvPicPr/>
                  </pic:nvPicPr>
                  <pic:blipFill>
                    <a:blip r:embed="rId10"/>
                    <a:stretch>
                      <a:fillRect/>
                    </a:stretch>
                  </pic:blipFill>
                  <pic:spPr>
                    <a:xfrm>
                      <a:off x="0" y="0"/>
                      <a:ext cx="4023360" cy="3218688"/>
                    </a:xfrm>
                    <a:prstGeom prst="rect"/>
                  </pic:spPr>
                </pic:pic>
              </a:graphicData>
            </a:graphic>
          </wp:inline>
        </w:drawing>
      </w:r>
    </w:p>
    <w:p>
      <w:pPr>
        <w:jc w:val="center"/>
      </w:pPr>
      <w:r>
        <w:rPr>
          <w:i/>
          <w:sz w:val="18"/>
        </w:rPr>
        <w:t>Figure 2. The pathway wiring, not the genes alone, enables cross-species transfer.</w:t>
      </w:r>
    </w:p>
    <w:p>
      <w:pPr>
        <w:pStyle w:val="Heading2"/>
      </w:pPr>
      <w:r>
        <w:t>3.3 Representation &amp; the marker-shortcut control</w:t>
      </w:r>
    </w:p>
    <w:p>
      <w:r>
        <w:t>A key credibility check. Some input genes co-define the labels (e.g. Sox9 for ADM), so a model can 'cheat'. We train under three input regimes and report mean program recall over 3 seeds. After enriching the intrinsic-memory representation with additional identity/chromatin genes, removing the marker genes barely changes performance (shortcut dissolved), and — critically — the theory's pure inputs (cue + intrinsic memory only) now predict fate, up from 0.</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sz w:val="20"/>
              </w:rPr>
              <w:t>Input regime</w:t>
            </w:r>
          </w:p>
        </w:tc>
        <w:tc>
          <w:tcPr>
            <w:tcW w:type="dxa" w:w="2880"/>
          </w:tcPr>
          <w:p>
            <w:r/>
            <w:r>
              <w:rPr>
                <w:b/>
                <w:sz w:val="20"/>
              </w:rPr>
              <w:t>Program recall (3 seeds)</w:t>
            </w:r>
          </w:p>
        </w:tc>
        <w:tc>
          <w:tcPr>
            <w:tcW w:type="dxa" w:w="2880"/>
          </w:tcPr>
          <w:p>
            <w:r/>
            <w:r>
              <w:rPr>
                <w:b/>
                <w:sz w:val="20"/>
              </w:rPr>
              <w:t>Before enrichment</w:t>
            </w:r>
          </w:p>
        </w:tc>
      </w:tr>
      <w:tr>
        <w:tc>
          <w:tcPr>
            <w:tcW w:type="dxa" w:w="2880"/>
          </w:tcPr>
          <w:p>
            <w:r/>
            <w:r>
              <w:rPr>
                <w:sz w:val="20"/>
              </w:rPr>
              <w:t>full</w:t>
            </w:r>
          </w:p>
        </w:tc>
        <w:tc>
          <w:tcPr>
            <w:tcW w:type="dxa" w:w="2880"/>
          </w:tcPr>
          <w:p>
            <w:r/>
            <w:r>
              <w:rPr>
                <w:sz w:val="20"/>
              </w:rPr>
              <w:t>0.476 +/- 0.058</w:t>
            </w:r>
          </w:p>
        </w:tc>
        <w:tc>
          <w:tcPr>
            <w:tcW w:type="dxa" w:w="2880"/>
          </w:tcPr>
          <w:p>
            <w:r/>
            <w:r>
              <w:rPr>
                <w:sz w:val="20"/>
              </w:rPr>
              <w:t>0.196</w:t>
            </w:r>
          </w:p>
        </w:tc>
      </w:tr>
      <w:tr>
        <w:tc>
          <w:tcPr>
            <w:tcW w:type="dxa" w:w="2880"/>
          </w:tcPr>
          <w:p>
            <w:r/>
            <w:r>
              <w:rPr>
                <w:sz w:val="20"/>
              </w:rPr>
              <w:t>no_markers (shortcut removed)</w:t>
            </w:r>
          </w:p>
        </w:tc>
        <w:tc>
          <w:tcPr>
            <w:tcW w:type="dxa" w:w="2880"/>
          </w:tcPr>
          <w:p>
            <w:r/>
            <w:r>
              <w:rPr>
                <w:sz w:val="20"/>
              </w:rPr>
              <w:t>0.441 +/- 0.016</w:t>
            </w:r>
          </w:p>
        </w:tc>
        <w:tc>
          <w:tcPr>
            <w:tcW w:type="dxa" w:w="2880"/>
          </w:tcPr>
          <w:p>
            <w:r/>
            <w:r>
              <w:rPr>
                <w:sz w:val="20"/>
              </w:rPr>
              <w:t>0.087</w:t>
            </w:r>
          </w:p>
        </w:tc>
      </w:tr>
      <w:tr>
        <w:tc>
          <w:tcPr>
            <w:tcW w:type="dxa" w:w="2880"/>
          </w:tcPr>
          <w:p>
            <w:r/>
            <w:r>
              <w:rPr>
                <w:sz w:val="20"/>
              </w:rPr>
              <w:t>lineage_only (cue + memory only)</w:t>
            </w:r>
          </w:p>
        </w:tc>
        <w:tc>
          <w:tcPr>
            <w:tcW w:type="dxa" w:w="2880"/>
          </w:tcPr>
          <w:p>
            <w:r/>
            <w:r>
              <w:rPr>
                <w:sz w:val="20"/>
              </w:rPr>
              <w:t>0.344 +/- 0.064</w:t>
            </w:r>
          </w:p>
        </w:tc>
        <w:tc>
          <w:tcPr>
            <w:tcW w:type="dxa" w:w="2880"/>
          </w:tcPr>
          <w:p>
            <w:r/>
            <w:r>
              <w:rPr>
                <w:sz w:val="20"/>
              </w:rPr>
              <w:t>0.000</w:t>
            </w:r>
          </w:p>
        </w:tc>
      </w:tr>
    </w:tbl>
    <w:p>
      <w:pPr>
        <w:jc w:val="center"/>
      </w:pPr>
      <w:r>
        <w:drawing>
          <wp:inline xmlns:a="http://schemas.openxmlformats.org/drawingml/2006/main" xmlns:pic="http://schemas.openxmlformats.org/drawingml/2006/picture">
            <wp:extent cx="4023360" cy="3218688"/>
            <wp:docPr id="3" name="Picture 3"/>
            <wp:cNvGraphicFramePr>
              <a:graphicFrameLocks noChangeAspect="1"/>
            </wp:cNvGraphicFramePr>
            <a:graphic>
              <a:graphicData uri="http://schemas.openxmlformats.org/drawingml/2006/picture">
                <pic:pic>
                  <pic:nvPicPr>
                    <pic:cNvPr id="0" name="representation_control.png"/>
                    <pic:cNvPicPr/>
                  </pic:nvPicPr>
                  <pic:blipFill>
                    <a:blip r:embed="rId11"/>
                    <a:stretch>
                      <a:fillRect/>
                    </a:stretch>
                  </pic:blipFill>
                  <pic:spPr>
                    <a:xfrm>
                      <a:off x="0" y="0"/>
                      <a:ext cx="4023360" cy="3218688"/>
                    </a:xfrm>
                    <a:prstGeom prst="rect"/>
                  </pic:spPr>
                </pic:pic>
              </a:graphicData>
            </a:graphic>
          </wp:inline>
        </w:drawing>
      </w:r>
    </w:p>
    <w:p>
      <w:pPr>
        <w:jc w:val="center"/>
      </w:pPr>
      <w:r>
        <w:rPr>
          <w:i/>
          <w:sz w:val="18"/>
        </w:rPr>
        <w:t>Figure 3. Richer memory dissolves the marker shortcut and makes cue+memory predictive.</w:t>
      </w:r>
    </w:p>
    <w:p>
      <w:r>
        <w:br w:type="page"/>
      </w:r>
    </w:p>
    <w:p>
      <w:pPr>
        <w:pStyle w:val="Heading2"/>
      </w:pPr>
      <w:r>
        <w:t>3.4 Theory dynamics — plasticity-gated, persistent fate switching</w:t>
      </w:r>
    </w:p>
    <w:p>
      <w:r>
        <w:t>Sweeping the plasticity input from 0 to 1 reproduces the theory's central behavior: at low plasticity the intrinsic default holds regardless of the cue; past a threshold the cue flips the stabilized program; and the flipped state persists after the cue is withdrawn (hysteresis = stored memory). This held for Fibrosis, Hypertrophy, and InnateMemory, replicated across independent sources (lung/kidney; mouse/human), and — importantly — survived removal of the marker genes. No-cue programs (myogenesis, pluripotency) stayed flat, a clean control. Mechanism ablations confirmed each component is load-bearing: removing the plasticity gate abolishes the effect entirely. Honest exception: ADM's dynamics were marker-dependent and collapsed without them.</w:t>
      </w:r>
    </w:p>
    <w:p>
      <w:pPr>
        <w:pStyle w:val="Heading2"/>
      </w:pPr>
      <w:r>
        <w:t>3.5 Interpretability &amp; biological validation</w:t>
      </w:r>
    </w:p>
    <w:p>
      <w:r>
        <w:t>Permutation importance (scramble each input and measure the drop in each program's recall) shows the model relies on the textbook regulators for most programs, independently recovering known biology: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sz w:val="20"/>
              </w:rPr>
              <w:t>Program</w:t>
            </w:r>
          </w:p>
        </w:tc>
        <w:tc>
          <w:tcPr>
            <w:tcW w:type="dxa" w:w="2880"/>
          </w:tcPr>
          <w:p>
            <w:r/>
            <w:r>
              <w:rPr>
                <w:b/>
                <w:sz w:val="20"/>
              </w:rPr>
              <w:t>Top regulator(s) the model uses</w:t>
            </w:r>
          </w:p>
        </w:tc>
        <w:tc>
          <w:tcPr>
            <w:tcW w:type="dxa" w:w="2880"/>
          </w:tcPr>
          <w:p>
            <w:r/>
            <w:r>
              <w:rPr>
                <w:b/>
                <w:sz w:val="20"/>
              </w:rPr>
              <w:t>Known biology?</w:t>
            </w:r>
          </w:p>
        </w:tc>
      </w:tr>
      <w:tr>
        <w:tc>
          <w:tcPr>
            <w:tcW w:type="dxa" w:w="2880"/>
          </w:tcPr>
          <w:p>
            <w:r/>
            <w:r>
              <w:rPr>
                <w:sz w:val="20"/>
              </w:rPr>
              <w:t>Hypertrophy</w:t>
            </w:r>
          </w:p>
        </w:tc>
        <w:tc>
          <w:tcPr>
            <w:tcW w:type="dxa" w:w="2880"/>
          </w:tcPr>
          <w:p>
            <w:r/>
            <w:r>
              <w:rPr>
                <w:sz w:val="20"/>
              </w:rPr>
              <w:t>MechanicalStretch, HDAC4, HDAC5</w:t>
            </w:r>
          </w:p>
        </w:tc>
        <w:tc>
          <w:tcPr>
            <w:tcW w:type="dxa" w:w="2880"/>
          </w:tcPr>
          <w:p>
            <w:r/>
            <w:r>
              <w:rPr>
                <w:sz w:val="20"/>
              </w:rPr>
              <w:t>Yes (class-IIa HDACs)</w:t>
            </w:r>
          </w:p>
        </w:tc>
      </w:tr>
      <w:tr>
        <w:tc>
          <w:tcPr>
            <w:tcW w:type="dxa" w:w="2880"/>
          </w:tcPr>
          <w:p>
            <w:r/>
            <w:r>
              <w:rPr>
                <w:sz w:val="20"/>
              </w:rPr>
              <w:t>MyogenicDiff</w:t>
            </w:r>
          </w:p>
        </w:tc>
        <w:tc>
          <w:tcPr>
            <w:tcW w:type="dxa" w:w="2880"/>
          </w:tcPr>
          <w:p>
            <w:r/>
            <w:r>
              <w:rPr>
                <w:sz w:val="20"/>
              </w:rPr>
              <w:t>MyoD</w:t>
            </w:r>
          </w:p>
        </w:tc>
        <w:tc>
          <w:tcPr>
            <w:tcW w:type="dxa" w:w="2880"/>
          </w:tcPr>
          <w:p>
            <w:r/>
            <w:r>
              <w:rPr>
                <w:sz w:val="20"/>
              </w:rPr>
              <w:t>Yes (master TF)</w:t>
            </w:r>
          </w:p>
        </w:tc>
      </w:tr>
      <w:tr>
        <w:tc>
          <w:tcPr>
            <w:tcW w:type="dxa" w:w="2880"/>
          </w:tcPr>
          <w:p>
            <w:r/>
            <w:r>
              <w:rPr>
                <w:sz w:val="20"/>
              </w:rPr>
              <w:t>ADM</w:t>
            </w:r>
          </w:p>
        </w:tc>
        <w:tc>
          <w:tcPr>
            <w:tcW w:type="dxa" w:w="2880"/>
          </w:tcPr>
          <w:p>
            <w:r/>
            <w:r>
              <w:rPr>
                <w:sz w:val="20"/>
              </w:rPr>
              <w:t>Sox9, Caerulein</w:t>
            </w:r>
          </w:p>
        </w:tc>
        <w:tc>
          <w:tcPr>
            <w:tcW w:type="dxa" w:w="2880"/>
          </w:tcPr>
          <w:p>
            <w:r/>
            <w:r>
              <w:rPr>
                <w:sz w:val="20"/>
              </w:rPr>
              <w:t>Yes (metaplasia driver)</w:t>
            </w:r>
          </w:p>
        </w:tc>
      </w:tr>
      <w:tr>
        <w:tc>
          <w:tcPr>
            <w:tcW w:type="dxa" w:w="2880"/>
          </w:tcPr>
          <w:p>
            <w:r/>
            <w:r>
              <w:rPr>
                <w:sz w:val="20"/>
              </w:rPr>
              <w:t>InnateMemory</w:t>
            </w:r>
          </w:p>
        </w:tc>
        <w:tc>
          <w:tcPr>
            <w:tcW w:type="dxa" w:w="2880"/>
          </w:tcPr>
          <w:p>
            <w:r/>
            <w:r>
              <w:rPr>
                <w:sz w:val="20"/>
              </w:rPr>
              <w:t>LPS, PU.1</w:t>
            </w:r>
          </w:p>
        </w:tc>
        <w:tc>
          <w:tcPr>
            <w:tcW w:type="dxa" w:w="2880"/>
          </w:tcPr>
          <w:p>
            <w:r/>
            <w:r>
              <w:rPr>
                <w:sz w:val="20"/>
              </w:rPr>
              <w:t>Yes (myeloid pioneer)</w:t>
            </w:r>
          </w:p>
        </w:tc>
      </w:tr>
      <w:tr>
        <w:tc>
          <w:tcPr>
            <w:tcW w:type="dxa" w:w="2880"/>
          </w:tcPr>
          <w:p>
            <w:r/>
            <w:r>
              <w:rPr>
                <w:sz w:val="20"/>
              </w:rPr>
              <w:t>Regeneration</w:t>
            </w:r>
          </w:p>
        </w:tc>
        <w:tc>
          <w:tcPr>
            <w:tcW w:type="dxa" w:w="2880"/>
          </w:tcPr>
          <w:p>
            <w:r/>
            <w:r>
              <w:rPr>
                <w:sz w:val="20"/>
              </w:rPr>
              <w:t>HDAC1/3, SWI/SNF</w:t>
            </w:r>
          </w:p>
        </w:tc>
        <w:tc>
          <w:tcPr>
            <w:tcW w:type="dxa" w:w="2880"/>
          </w:tcPr>
          <w:p>
            <w:r/>
            <w:r>
              <w:rPr>
                <w:sz w:val="20"/>
              </w:rPr>
              <w:t>Yes (butyrate/HDAC axis)</w:t>
            </w:r>
          </w:p>
        </w:tc>
      </w:tr>
      <w:tr>
        <w:tc>
          <w:tcPr>
            <w:tcW w:type="dxa" w:w="2880"/>
          </w:tcPr>
          <w:p>
            <w:r/>
            <w:r>
              <w:rPr>
                <w:sz w:val="20"/>
              </w:rPr>
              <w:t>Senescence</w:t>
            </w:r>
          </w:p>
        </w:tc>
        <w:tc>
          <w:tcPr>
            <w:tcW w:type="dxa" w:w="2880"/>
          </w:tcPr>
          <w:p>
            <w:r/>
            <w:r>
              <w:rPr>
                <w:sz w:val="20"/>
              </w:rPr>
              <w:t>CDKN2A/p16, CDKN1A/p21</w:t>
            </w:r>
          </w:p>
        </w:tc>
        <w:tc>
          <w:tcPr>
            <w:tcW w:type="dxa" w:w="2880"/>
          </w:tcPr>
          <w:p>
            <w:r/>
            <w:r>
              <w:rPr>
                <w:sz w:val="20"/>
              </w:rPr>
              <w:t>Yes (arrest effectors)</w:t>
            </w:r>
          </w:p>
        </w:tc>
      </w:tr>
    </w:tbl>
    <w:p>
      <w:r>
        <w:t>Weaker cases (flagged honestly): EMT and Pluripotency did not surface their specific drivers, being dominated by generic signal.</w:t>
      </w:r>
    </w:p>
    <w:p>
      <w:pPr>
        <w:jc w:val="center"/>
      </w:pPr>
      <w:r>
        <w:drawing>
          <wp:inline xmlns:a="http://schemas.openxmlformats.org/drawingml/2006/main" xmlns:pic="http://schemas.openxmlformats.org/drawingml/2006/picture">
            <wp:extent cx="4572000" cy="6035040"/>
            <wp:docPr id="4" name="Picture 4"/>
            <wp:cNvGraphicFramePr>
              <a:graphicFrameLocks noChangeAspect="1"/>
            </wp:cNvGraphicFramePr>
            <a:graphic>
              <a:graphicData uri="http://schemas.openxmlformats.org/drawingml/2006/picture">
                <pic:pic>
                  <pic:nvPicPr>
                    <pic:cNvPr id="0" name="importance_heatmap.png"/>
                    <pic:cNvPicPr/>
                  </pic:nvPicPr>
                  <pic:blipFill>
                    <a:blip r:embed="rId12"/>
                    <a:stretch>
                      <a:fillRect/>
                    </a:stretch>
                  </pic:blipFill>
                  <pic:spPr>
                    <a:xfrm>
                      <a:off x="0" y="0"/>
                      <a:ext cx="4572000" cy="6035040"/>
                    </a:xfrm>
                    <a:prstGeom prst="rect"/>
                  </pic:spPr>
                </pic:pic>
              </a:graphicData>
            </a:graphic>
          </wp:inline>
        </w:drawing>
      </w:r>
    </w:p>
    <w:p>
      <w:pPr>
        <w:jc w:val="center"/>
      </w:pPr>
      <w:r>
        <w:rPr>
          <w:i/>
          <w:sz w:val="18"/>
        </w:rPr>
        <w:t>Figure 4. Node x program permutation importance (recall drop when a node is shuffled).</w:t>
      </w:r>
    </w:p>
    <w:p>
      <w:r>
        <w:br w:type="page"/>
      </w:r>
    </w:p>
    <w:p>
      <w:pPr>
        <w:pStyle w:val="Heading2"/>
      </w:pPr>
      <w:r>
        <w:t>3.6 Data-scaling law</w:t>
      </w:r>
    </w:p>
    <w:p>
      <w:r>
        <w:t>Training on increasing numbers of cells: performance climbs up to ~16,000 cells and then plateaus. Interpretation: beyond that point, more cells of the same programs stop helping — the bottleneck is the model's representation, which is why enriching the intrinsic-memory representation (Section 3.3) was the effective lever, not raw data volume.</w:t>
      </w:r>
    </w:p>
    <w:p>
      <w:pPr>
        <w:jc w:val="center"/>
      </w:pPr>
      <w:r>
        <w:drawing>
          <wp:inline xmlns:a="http://schemas.openxmlformats.org/drawingml/2006/main" xmlns:pic="http://schemas.openxmlformats.org/drawingml/2006/picture">
            <wp:extent cx="4389120" cy="2926080"/>
            <wp:docPr id="5" name="Picture 5"/>
            <wp:cNvGraphicFramePr>
              <a:graphicFrameLocks noChangeAspect="1"/>
            </wp:cNvGraphicFramePr>
            <a:graphic>
              <a:graphicData uri="http://schemas.openxmlformats.org/drawingml/2006/picture">
                <pic:pic>
                  <pic:nvPicPr>
                    <pic:cNvPr id="0" name="scaling_law.png"/>
                    <pic:cNvPicPr/>
                  </pic:nvPicPr>
                  <pic:blipFill>
                    <a:blip r:embed="rId13"/>
                    <a:stretch>
                      <a:fillRect/>
                    </a:stretch>
                  </pic:blipFill>
                  <pic:spPr>
                    <a:xfrm>
                      <a:off x="0" y="0"/>
                      <a:ext cx="4389120" cy="2926080"/>
                    </a:xfrm>
                    <a:prstGeom prst="rect"/>
                  </pic:spPr>
                </pic:pic>
              </a:graphicData>
            </a:graphic>
          </wp:inline>
        </w:drawing>
      </w:r>
    </w:p>
    <w:p>
      <w:pPr>
        <w:jc w:val="center"/>
      </w:pPr>
      <w:r>
        <w:rPr>
          <w:i/>
          <w:sz w:val="18"/>
        </w:rPr>
        <w:t>Figure 5. Held-out performance vs. training-set size (marker-controlled).</w:t>
      </w:r>
    </w:p>
    <w:p>
      <w:pPr>
        <w:pStyle w:val="Heading2"/>
      </w:pPr>
      <w:r>
        <w:t>3.7 Generalization — cross-validation &amp; model configuration</w:t>
      </w:r>
    </w:p>
    <w:p>
      <w:r>
        <w:t>Increasing model capacity (hidden width 32 -&gt; 64) and adding inverse-frequency class weighting (so the model stops defaulting to the dominant Quiescent class) substantially improved the biologically meaningful metric. Five-fold, class-balanced cross-validation of the marker-controlled, class-weighted model: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sz w:val="20"/>
              </w:rPr>
              <w:t>Metric</w:t>
            </w:r>
          </w:p>
        </w:tc>
        <w:tc>
          <w:tcPr>
            <w:tcW w:type="dxa" w:w="2880"/>
          </w:tcPr>
          <w:p>
            <w:r/>
            <w:r>
              <w:rPr>
                <w:b/>
                <w:sz w:val="20"/>
              </w:rPr>
              <w:t>5-fold CV (mean +/- std)</w:t>
            </w:r>
          </w:p>
        </w:tc>
        <w:tc>
          <w:tcPr>
            <w:tcW w:type="dxa" w:w="2880"/>
          </w:tcPr>
          <w:p>
            <w:r/>
            <w:r>
              <w:rPr>
                <w:b/>
                <w:sz w:val="20"/>
              </w:rPr>
              <w:t>Prior config</w:t>
            </w:r>
          </w:p>
        </w:tc>
      </w:tr>
      <w:tr>
        <w:tc>
          <w:tcPr>
            <w:tcW w:type="dxa" w:w="2880"/>
          </w:tcPr>
          <w:p>
            <w:r/>
            <w:r>
              <w:rPr>
                <w:sz w:val="20"/>
              </w:rPr>
              <w:t>Program recall (activated programs)</w:t>
            </w:r>
          </w:p>
        </w:tc>
        <w:tc>
          <w:tcPr>
            <w:tcW w:type="dxa" w:w="2880"/>
          </w:tcPr>
          <w:p>
            <w:r/>
            <w:r>
              <w:rPr>
                <w:sz w:val="20"/>
              </w:rPr>
              <w:t>0.633 +/- 0.025</w:t>
            </w:r>
          </w:p>
        </w:tc>
        <w:tc>
          <w:tcPr>
            <w:tcW w:type="dxa" w:w="2880"/>
          </w:tcPr>
          <w:p>
            <w:r/>
            <w:r>
              <w:rPr>
                <w:sz w:val="20"/>
              </w:rPr>
              <w:t>0.356</w:t>
            </w:r>
          </w:p>
        </w:tc>
      </w:tr>
      <w:tr>
        <w:tc>
          <w:tcPr>
            <w:tcW w:type="dxa" w:w="2880"/>
          </w:tcPr>
          <w:p>
            <w:r/>
            <w:r>
              <w:rPr>
                <w:sz w:val="20"/>
              </w:rPr>
              <w:t>Balanced accuracy (per-class mean)</w:t>
            </w:r>
          </w:p>
        </w:tc>
        <w:tc>
          <w:tcPr>
            <w:tcW w:type="dxa" w:w="2880"/>
          </w:tcPr>
          <w:p>
            <w:r/>
            <w:r>
              <w:rPr>
                <w:sz w:val="20"/>
              </w:rPr>
              <w:t>0.597 +/- 0.029</w:t>
            </w:r>
          </w:p>
        </w:tc>
        <w:tc>
          <w:tcPr>
            <w:tcW w:type="dxa" w:w="2880"/>
          </w:tcPr>
          <w:p>
            <w:r/>
            <w:r>
              <w:rPr>
                <w:sz w:val="20"/>
              </w:rPr>
              <w:t>~0.50</w:t>
            </w:r>
          </w:p>
        </w:tc>
      </w:tr>
      <w:tr>
        <w:tc>
          <w:tcPr>
            <w:tcW w:type="dxa" w:w="2880"/>
          </w:tcPr>
          <w:p>
            <w:r/>
            <w:r>
              <w:rPr>
                <w:sz w:val="20"/>
              </w:rPr>
              <w:t>Overall accuracy (cell-weighted)</w:t>
            </w:r>
          </w:p>
        </w:tc>
        <w:tc>
          <w:tcPr>
            <w:tcW w:type="dxa" w:w="2880"/>
          </w:tcPr>
          <w:p>
            <w:r/>
            <w:r>
              <w:rPr>
                <w:sz w:val="20"/>
              </w:rPr>
              <w:t>0.481 +/- 0.078</w:t>
            </w:r>
          </w:p>
        </w:tc>
        <w:tc>
          <w:tcPr>
            <w:tcW w:type="dxa" w:w="2880"/>
          </w:tcPr>
          <w:p>
            <w:r/>
            <w:r>
              <w:rPr>
                <w:sz w:val="20"/>
              </w:rPr>
              <w:t>0.628</w:t>
            </w:r>
          </w:p>
        </w:tc>
      </w:tr>
    </w:tbl>
    <w:p>
      <w:r>
        <w:t>Program recall nearly doubled (0.36 -&gt; 0.63) and is stable across folds (+/-0.025). Balanced accuracy ~0.60. Overall (cell-weighted) accuracy DROPPED (0.63 -&gt; 0.48): this is the intended effect of class weighting -- the model no longer inflates its score by predicting the majority Quiescent class, so it identifies far more activated-program cells at the cost of some Quiescent errors. Program recall / balanced accuracy therefore reflect the biology; overall accuracy is reported only for completeness.</w:t>
      </w:r>
    </w:p>
    <w:p>
      <w:pPr>
        <w:pStyle w:val="Heading1"/>
      </w:pPr>
      <w:r>
        <w:t>4. Limitations</w:t>
      </w:r>
    </w:p>
    <w:p>
      <w:pPr>
        <w:pStyle w:val="ListBullet"/>
      </w:pPr>
      <w:r>
        <w:t>Small models (32 hidden units, ~6 message-passing rounds); absolute accuracy is modest on 10 imbalanced classes. The strength is in the controlled comparisons, not raw accuracy.</w:t>
      </w:r>
    </w:p>
    <w:p>
      <w:pPr>
        <w:pStyle w:val="ListBullet"/>
      </w:pPr>
      <w:r>
        <w:t>EMT and Pluripotency interpretability is weak; EMT and Senescence are single-source.</w:t>
      </w:r>
    </w:p>
    <w:p>
      <w:pPr>
        <w:pStyle w:val="ListBullet"/>
      </w:pPr>
      <w:r>
        <w:t>ADM's dynamical behavior was marker-dependent and does not survive the shortcut control.</w:t>
      </w:r>
    </w:p>
    <w:p>
      <w:pPr>
        <w:pStyle w:val="ListBullet"/>
      </w:pPr>
      <w:r>
        <w:t>Cross-tissue Regeneration (lung &lt;-&gt; muscle) and some cross-species transfers do not generalize.</w:t>
      </w:r>
    </w:p>
    <w:p>
      <w:pPr>
        <w:pStyle w:val="ListBullet"/>
      </w:pPr>
      <w:r>
        <w:t>Labels are repurposed from the source studies' annotations; a few (e.g. myogenesis, senescence wells) involved our own cluster/threshold calls, stated in the methods.</w:t>
      </w:r>
    </w:p>
    <w:p>
      <w:pPr>
        <w:pStyle w:val="Heading1"/>
      </w:pPr>
      <w:r>
        <w:t>5. Conclusion</w:t>
      </w:r>
    </w:p>
    <w:p>
      <w:r>
        <w:t>The review's multiscale information-processing model can be built as a knowledge-graph GNN whose theory-specific mechanisms each measurably contribute to reproducing the predicted plasticity-gated, persistent fate-stabilization behavior on real multi-source single-cell data. Under strict marker-shortcut controls, (i) the pathway structure generalizes across species where random wiring and a gene-level model fail, (ii) fate becomes predictable from the theory's own inputs (cue + intrinsic memory), and (iii) the model recovers known regulators for most programs. These are honest, credibility-controlled results; the remaining gap is absolute predictive power on the hardest classes, addressable with larger models and richer memory representations.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